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case-study-report"/>
    <w:p>
      <w:pPr>
        <w:pStyle w:val="Heading1"/>
      </w:pPr>
      <w:r>
        <w:t xml:space="preserve">Case Study Report</w:t>
      </w:r>
    </w:p>
    <w:bookmarkStart w:id="27" w:name="X15fe10b60e497518088e34ce9630eab4503ceb5"/>
    <w:p>
      <w:pPr>
        <w:pStyle w:val="Heading2"/>
      </w:pPr>
      <w:r>
        <w:t xml:space="preserve">Strategic Financial Analysis in the Heart of the Middle East:</w:t>
      </w:r>
      <w:r>
        <w:br/>
      </w:r>
      <w:r>
        <w:t xml:space="preserve">The Role of a Financial Analyst in United Arab Emirates Dubai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Evolution and Impact of the Financial Analyst Profession in a Dynamic Economic Hub</w:t>
      </w:r>
    </w:p>
    <w:bookmarkStart w:id="20" w:name="executive-summary"/>
    <w:p>
      <w:pPr>
        <w:pStyle w:val="Heading3"/>
      </w:pPr>
      <w:r>
        <w:t xml:space="preserve">1. Executive Summary</w:t>
      </w:r>
    </w:p>
    <w:p>
      <w:pPr>
        <w:pStyle w:val="FirstParagraph"/>
      </w:pPr>
      <w:r>
        <w:t xml:space="preserve">In the rapidly evolving economic landscape of the modern era, few locations exemplify transformation and ambition as vividly as</w:t>
      </w:r>
      <w:r>
        <w:t xml:space="preserve"> </w:t>
      </w:r>
      <w:r>
        <w:rPr>
          <w:bCs/>
          <w:b/>
        </w:rPr>
        <w:t xml:space="preserve">United Arab Emirates Dubai</w:t>
      </w:r>
      <w:r>
        <w:t xml:space="preserve">. As a global hub for trade, tourism, and innovation, Dubai requires sophisticated financial stewardship to maintain its competitive edge. This case study explores the critical role of the</w:t>
      </w:r>
      <w:r>
        <w:t xml:space="preserve"> </w:t>
      </w:r>
      <w:r>
        <w:rPr>
          <w:bCs/>
          <w:b/>
        </w:rPr>
        <w:t xml:space="preserve">Financial Analyst</w:t>
      </w:r>
      <w:r>
        <w:t xml:space="preserve"> </w:t>
      </w:r>
      <w:r>
        <w:t xml:space="preserve">within this specific geographic and economic context. It examines how these professionals navigate regulatory complexities, leverage emerging technologies like AI and blockchain, and contribute to strategic decision-making in one of the world’s most dynamic markets.</w:t>
      </w:r>
    </w:p>
    <w:bookmarkEnd w:id="20"/>
    <w:bookmarkStart w:id="21" w:name="Xa367e50b73945b508ae95eed4efe4e5f7b2d1d5"/>
    <w:p>
      <w:pPr>
        <w:pStyle w:val="Heading3"/>
      </w:pPr>
      <w:r>
        <w:t xml:space="preserve">2. Contextual Background: The Dubai Economic Ecosystem</w:t>
      </w:r>
    </w:p>
    <w:p>
      <w:pPr>
        <w:pStyle w:val="FirstParagraph"/>
      </w:pPr>
      <w:r>
        <w:rPr>
          <w:bCs/>
          <w:b/>
        </w:rPr>
        <w:t xml:space="preserve">United Arab Emirates Dubai</w:t>
      </w:r>
      <w:r>
        <w:t xml:space="preserve"> </w:t>
      </w:r>
      <w:r>
        <w:t xml:space="preserve">is not merely a city; it is a brand synonymous with luxury, efficiency, and forward-thinking governance. Since its discovery of oil in the mid-20th century, Dubai has diversified aggressively into real estate, aviation (Emirates), tourism (Dubai Holding), and financial services. The establishment of free zones such as the Dubai International Financial Centre (DIFC) has created a unique regulatory environment that operates under common law principles, distinct from the mainland civil law system.</w:t>
      </w:r>
    </w:p>
    <w:p>
      <w:pPr>
        <w:pStyle w:val="BodyText"/>
      </w:pPr>
      <w:r>
        <w:t xml:space="preserve">This dual-regulatory structure presents a complex but lucrative landscape for businesses. However, complexity demands precision. This is where the</w:t>
      </w:r>
      <w:r>
        <w:t xml:space="preserve"> </w:t>
      </w:r>
      <w:r>
        <w:rPr>
          <w:bCs/>
          <w:b/>
        </w:rPr>
        <w:t xml:space="preserve">Financial Analyst</w:t>
      </w:r>
      <w:r>
        <w:t xml:space="preserve"> </w:t>
      </w:r>
      <w:r>
        <w:t xml:space="preserve">becomes indispensable. They are not just number crunchers; they are strategic partners who interpret market trends, assess investment risks in volatile sectors like real estate and energy, and ensure compliance with both local UAE regulations and international financial reporting standards (IFRS).</w:t>
      </w:r>
    </w:p>
    <w:bookmarkEnd w:id="21"/>
    <w:bookmarkStart w:id="22" w:name="Xa4466f06d29f82865660ed5d38b546186fdf8fc"/>
    <w:p>
      <w:pPr>
        <w:pStyle w:val="Heading3"/>
      </w:pPr>
      <w:r>
        <w:t xml:space="preserve">3. The Profile of the Modern Financial Analyst in Dubai</w:t>
      </w:r>
    </w:p>
    <w:p>
      <w:pPr>
        <w:pStyle w:val="FirstParagraph"/>
      </w:pPr>
      <w:r>
        <w:t xml:space="preserve">The profile of a</w:t>
      </w:r>
      <w:r>
        <w:t xml:space="preserve"> </w:t>
      </w:r>
      <w:r>
        <w:rPr>
          <w:bCs/>
          <w:b/>
        </w:rPr>
        <w:t xml:space="preserve">Financial Analyst</w:t>
      </w:r>
      <w:r>
        <w:t xml:space="preserve"> </w:t>
      </w:r>
      <w:r>
        <w:t xml:space="preserve">operating in</w:t>
      </w:r>
      <w:r>
        <w:t xml:space="preserve"> </w:t>
      </w:r>
      <w:r>
        <w:rPr>
          <w:bCs/>
          <w:b/>
        </w:rPr>
        <w:t xml:space="preserve">United Arab Emirates Dubai</w:t>
      </w:r>
      <w:r>
        <w:t xml:space="preserve"> </w:t>
      </w:r>
      <w:r>
        <w:t xml:space="preserve">differs significantly from their counterparts in traditional Western markets. The following key attributes define this role:</w:t>
      </w:r>
    </w:p>
    <w:p>
      <w:pPr>
        <w:numPr>
          <w:ilvl w:val="0"/>
          <w:numId w:val="1001"/>
        </w:numPr>
        <w:pStyle w:val="Compact"/>
      </w:pPr>
      <w:r>
        <w:rPr>
          <w:bCs/>
          <w:b/>
        </w:rPr>
        <w:t xml:space="preserve">Cross-Cultural Competence:</w:t>
      </w:r>
      <w:r>
        <w:t xml:space="preserve"> </w:t>
      </w:r>
      <w:r>
        <w:t xml:space="preserve">Dubai’s workforce is among the most diverse in the world. A financial analyst must communicate effectively with stakeholders from Europe, Asia, Africa, and North America. Cultural sensitivity and linguistic versatility (particularly English proficiency, often supplemented by Arabic or other regional languages) are critical.</w:t>
      </w:r>
    </w:p>
    <w:p>
      <w:pPr>
        <w:numPr>
          <w:ilvl w:val="0"/>
          <w:numId w:val="1001"/>
        </w:numPr>
        <w:pStyle w:val="Compact"/>
      </w:pPr>
      <w:r>
        <w:rPr>
          <w:bCs/>
          <w:b/>
        </w:rPr>
        <w:t xml:space="preserve">Regulatory Agility:</w:t>
      </w:r>
      <w:r>
        <w:t xml:space="preserve"> </w:t>
      </w:r>
      <w:r>
        <w:t xml:space="preserve">The analyst must possess a deep understanding of the Central Bank of the UAE’s regulations, VAT implementation guidelines introduced in 2018, and evolving corporate tax frameworks. Staying ahead of legislative changes is not optional; it is a core competency.</w:t>
      </w:r>
    </w:p>
    <w:p>
      <w:pPr>
        <w:numPr>
          <w:ilvl w:val="0"/>
          <w:numId w:val="1001"/>
        </w:numPr>
        <w:pStyle w:val="Compact"/>
      </w:pPr>
      <w:r>
        <w:rPr>
          <w:bCs/>
          <w:b/>
        </w:rPr>
        <w:t xml:space="preserve">Tech-Driven Insight:</w:t>
      </w:r>
      <w:r>
        <w:t xml:space="preserve"> </w:t>
      </w:r>
      <w:r>
        <w:t xml:space="preserve">Dubai has positioned itself as a smart city. Consequently, financial analysts here are expected to be proficient in data visualization tools (Power BI, Tableau), cloud-based accounting systems (Oracle NetSuite, SAP), and increasingly, predictive analytics using machine learning models.</w:t>
      </w:r>
    </w:p>
    <w:bookmarkEnd w:id="22"/>
    <w:bookmarkStart w:id="23" w:name="X52b3f1460ffe380c2f943c0dab6a492d34b5cd2"/>
    <w:p>
      <w:pPr>
        <w:pStyle w:val="Heading3"/>
      </w:pPr>
      <w:r>
        <w:t xml:space="preserve">4. Case Scenario: Navigating the Post-Oil Diversification Strategy</w:t>
      </w:r>
    </w:p>
    <w:p>
      <w:pPr>
        <w:pStyle w:val="FirstParagraph"/>
      </w:pPr>
      <w:r>
        <w:t xml:space="preserve">To illustrate the impact of this role, let us consider a hypothetical but realistic scenario involving a mid-sized multinational corporation based in DIFC, focusing on sustainable real estate development.</w:t>
      </w:r>
    </w:p>
    <w:p>
      <w:pPr>
        <w:pStyle w:val="BodyText"/>
      </w:pPr>
      <w:r>
        <w:rPr>
          <w:bCs/>
          <w:b/>
        </w:rPr>
        <w:t xml:space="preserve">The Challenge:</w:t>
      </w:r>
      <w:r>
        <w:br/>
      </w:r>
      <w:r>
        <w:t xml:space="preserve">The company aims to launch a large-scale eco-friendly residential project in Dubai Marina. However, the market is saturated with similar projects, and financing costs are rising due to global monetary policies. The board requires a comprehensive analysis of feasibility before proceeding.</w:t>
      </w:r>
    </w:p>
    <w:p>
      <w:pPr>
        <w:pStyle w:val="BodyText"/>
      </w:pPr>
      <w:r>
        <w:rPr>
          <w:bCs/>
          <w:b/>
        </w:rPr>
        <w:t xml:space="preserve">The Role of the Financial Analyst:</w:t>
      </w:r>
      <w:r>
        <w:br/>
      </w:r>
      <w:r>
        <w:t xml:space="preserve">In this scenario, the</w:t>
      </w:r>
      <w:r>
        <w:t xml:space="preserve"> </w:t>
      </w:r>
      <w:r>
        <w:rPr>
          <w:bCs/>
          <w:b/>
        </w:rPr>
        <w:t xml:space="preserve">Financial Analyst</w:t>
      </w:r>
      <w:r>
        <w:t xml:space="preserve"> </w:t>
      </w:r>
      <w:r>
        <w:t xml:space="preserve">plays a pivotal role through several key actions:</w:t>
      </w:r>
    </w:p>
    <w:p>
      <w:pPr>
        <w:numPr>
          <w:ilvl w:val="0"/>
          <w:numId w:val="1002"/>
        </w:numPr>
        <w:pStyle w:val="Compact"/>
      </w:pPr>
      <w:r>
        <w:rPr>
          <w:bCs/>
          <w:b/>
        </w:rPr>
        <w:t xml:space="preserve">Risk Assessment and Sensitivity Analysis:</w:t>
      </w:r>
      <w:r>
        <w:t xml:space="preserve"> </w:t>
      </w:r>
      <w:r>
        <w:t xml:space="preserve">The analyst models various interest rate scenarios and construction cost inflation rates specific to the UAE market. They identify that a 5% increase in labor costs could erode margins by 15%, prompting a recommendation to lock in supplier contracts early.</w:t>
      </w:r>
    </w:p>
    <w:p>
      <w:pPr>
        <w:numPr>
          <w:ilvl w:val="0"/>
          <w:numId w:val="1002"/>
        </w:numPr>
        <w:pStyle w:val="Compact"/>
      </w:pPr>
      <w:r>
        <w:rPr>
          <w:bCs/>
          <w:b/>
        </w:rPr>
        <w:t xml:space="preserve">Market Comparative Analysis:</w:t>
      </w:r>
      <w:r>
        <w:t xml:space="preserve"> </w:t>
      </w:r>
      <w:r>
        <w:t xml:space="preserve">Using data from local real estate authorities, the analyst benchmarks projected rental yields against current competitors in Palm Jumeirah and Business Bay. This data-driven insight helps adjust pricing strategies to remain competitive without sacrificing profitability.</w:t>
      </w:r>
    </w:p>
    <w:p>
      <w:pPr>
        <w:numPr>
          <w:ilvl w:val="0"/>
          <w:numId w:val="1002"/>
        </w:numPr>
        <w:pStyle w:val="Compact"/>
      </w:pPr>
      <w:r>
        <w:rPr>
          <w:bCs/>
          <w:b/>
        </w:rPr>
        <w:t xml:space="preserve">Sustainability ROI Modeling:</w:t>
      </w:r>
      <w:r>
        <w:t xml:space="preserve"> </w:t>
      </w:r>
      <w:r>
        <w:t xml:space="preserve">Given the UAE’s commitment to Net Zero 2050, the analyst incorporates green building incentives into the financial model. They demonstrate that while initial CAPEX is higher, long-term operational savings and potential tax benefits significantly improve IRR (Internal Rate of Return).</w:t>
      </w:r>
    </w:p>
    <w:p>
      <w:pPr>
        <w:numPr>
          <w:ilvl w:val="0"/>
          <w:numId w:val="1002"/>
        </w:numPr>
        <w:pStyle w:val="Compact"/>
      </w:pPr>
      <w:r>
        <w:rPr>
          <w:bCs/>
          <w:b/>
        </w:rPr>
        <w:t xml:space="preserve">Stakeholder Communication:</w:t>
      </w:r>
      <w:r>
        <w:t xml:space="preserve"> </w:t>
      </w:r>
      <w:r>
        <w:t xml:space="preserve">The analyst prepares clear, visual dashboards for non-financial board members, translating complex data into actionable strategic insights. This bridges the gap between technical financial data and high-level business strategy.</w:t>
      </w:r>
    </w:p>
    <w:bookmarkEnd w:id="23"/>
    <w:bookmarkStart w:id="24" w:name="impact-and-outcomes"/>
    <w:p>
      <w:pPr>
        <w:pStyle w:val="Heading3"/>
      </w:pPr>
      <w:r>
        <w:t xml:space="preserve">5. Impact and Outcomes</w:t>
      </w:r>
    </w:p>
    <w:p>
      <w:pPr>
        <w:pStyle w:val="FirstParagraph"/>
      </w:pPr>
      <w:r>
        <w:t xml:space="preserve">Thanks to the rigorous analysis provided by the financial team, the project was restructured to include modular construction techniques, reducing costs and time-to-market. The final investment decision was approved with a projected ROI of 12%, higher than initially estimated. Furthermore, the project secured "Green Building" certification, attracting premium tenants aligned with ESG (Environmental, Social, and Governance) criteria—a growing trend in</w:t>
      </w:r>
      <w:r>
        <w:t xml:space="preserve"> </w:t>
      </w:r>
      <w:r>
        <w:rPr>
          <w:bCs/>
          <w:b/>
        </w:rPr>
        <w:t xml:space="preserve">United Arab Emirates Dubai</w:t>
      </w:r>
      <w:r>
        <w:t xml:space="preserve">.</w:t>
      </w:r>
    </w:p>
    <w:bookmarkEnd w:id="24"/>
    <w:bookmarkStart w:id="25" w:name="challenges-and-future-trends"/>
    <w:p>
      <w:pPr>
        <w:pStyle w:val="Heading3"/>
      </w:pPr>
      <w:r>
        <w:t xml:space="preserve">6. Challenges and Future Trends</w:t>
      </w:r>
    </w:p>
    <w:p>
      <w:pPr>
        <w:pStyle w:val="FirstParagraph"/>
      </w:pPr>
      <w:r>
        <w:t xml:space="preserve">Despite the successes, financial analysts in this region face ongoing challenges:</w:t>
      </w:r>
    </w:p>
    <w:p>
      <w:pPr>
        <w:numPr>
          <w:ilvl w:val="0"/>
          <w:numId w:val="1003"/>
        </w:numPr>
        <w:pStyle w:val="Compact"/>
      </w:pPr>
      <w:r>
        <w:rPr>
          <w:bCs/>
          <w:b/>
        </w:rPr>
        <w:t xml:space="preserve">Talent Competition:</w:t>
      </w:r>
      <w:r>
        <w:t xml:space="preserve"> </w:t>
      </w:r>
      <w:r>
        <w:t xml:space="preserve">There is high demand for skilled analysts, leading to significant turnover. Retaining top talent requires continuous professional development opportunities.</w:t>
      </w:r>
    </w:p>
    <w:p>
      <w:pPr>
        <w:numPr>
          <w:ilvl w:val="0"/>
          <w:numId w:val="1003"/>
        </w:numPr>
        <w:pStyle w:val="Compact"/>
      </w:pPr>
      <w:r>
        <w:rPr>
          <w:bCs/>
          <w:b/>
        </w:rPr>
        <w:t xml:space="preserve">Data Security and Privacy:</w:t>
      </w:r>
      <w:r>
        <w:t xml:space="preserve"> </w:t>
      </w:r>
      <w:r>
        <w:t xml:space="preserve">With the UAE’s new data protection laws, analysts must ensure that financial data handling meets strict cybersecurity standards.</w:t>
      </w:r>
    </w:p>
    <w:p>
      <w:pPr>
        <w:numPr>
          <w:ilvl w:val="0"/>
          <w:numId w:val="1003"/>
        </w:numPr>
        <w:pStyle w:val="Compact"/>
      </w:pPr>
      <w:r>
        <w:rPr>
          <w:bCs/>
          <w:b/>
        </w:rPr>
        <w:t xml:space="preserve">Digital Transformation:</w:t>
      </w:r>
      <w:r>
        <w:t xml:space="preserve"> </w:t>
      </w:r>
      <w:r>
        <w:t xml:space="preserve">The integration of AI in forecasting means that analysts must upskill continuously. The role is shifting from historical reporting to predictive and prescriptive analytics.</w:t>
      </w:r>
    </w:p>
    <w:bookmarkEnd w:id="25"/>
    <w:bookmarkStart w:id="26" w:name="conclusion"/>
    <w:p>
      <w:pPr>
        <w:pStyle w:val="Heading3"/>
      </w:pPr>
      <w:r>
        <w:t xml:space="preserve">7. Conclusion</w:t>
      </w:r>
    </w:p>
    <w:p>
      <w:pPr>
        <w:pStyle w:val="FirstParagraph"/>
      </w:pPr>
      <w:r>
        <w:t xml:space="preserve">The case of the financial analyst in</w:t>
      </w:r>
      <w:r>
        <w:t xml:space="preserve"> </w:t>
      </w:r>
      <w:r>
        <w:rPr>
          <w:bCs/>
          <w:b/>
        </w:rPr>
        <w:t xml:space="preserve">United Arab Emirates Dubai</w:t>
      </w:r>
      <w:r>
        <w:t xml:space="preserve"> </w:t>
      </w:r>
      <w:r>
        <w:t xml:space="preserve">highlights a profession at the intersection of tradition and innovation. It is no longer sufficient to simply track past performance; analysts must forecast future trends in a volatile, multicultural, and technologically advanced environment.</w:t>
      </w:r>
    </w:p>
    <w:p>
      <w:pPr>
        <w:pStyle w:val="BodyText"/>
      </w:pPr>
      <w:r>
        <w:t xml:space="preserve">Dubai’s ambition to remain a global leader requires financial professionals who are adaptable, tech-savvy, and deeply knowledgeable about the local regulatory ecosystem. For any organization operating in this region, investing in high-caliber</w:t>
      </w:r>
      <w:r>
        <w:t xml:space="preserve"> </w:t>
      </w:r>
      <w:r>
        <w:rPr>
          <w:bCs/>
          <w:b/>
        </w:rPr>
        <w:t xml:space="preserve">Financial Analysts</w:t>
      </w:r>
      <w:r>
        <w:t xml:space="preserve"> </w:t>
      </w:r>
      <w:r>
        <w:t xml:space="preserve">is not just an administrative necessity but a strategic imperative. These professionals provide the clarity needed to navigate uncertainty, turning complex market dynamics into competitive advantages.</w:t>
      </w:r>
    </w:p>
    <w:p>
      <w:pPr>
        <w:pStyle w:val="BodyText"/>
      </w:pPr>
      <w:r>
        <w:t xml:space="preserve">As</w:t>
      </w:r>
      <w:r>
        <w:t xml:space="preserve"> </w:t>
      </w:r>
      <w:r>
        <w:rPr>
          <w:bCs/>
          <w:b/>
        </w:rPr>
        <w:t xml:space="preserve">United Arab Emirates Dubai</w:t>
      </w:r>
      <w:r>
        <w:t xml:space="preserve"> </w:t>
      </w:r>
      <w:r>
        <w:t xml:space="preserve">continues to host global events and attract multinational headquarters, the role of the financial analyst will only grow in importance. They are the silent architects behind Dubai’s sustained economic resilience and growth, ensuring that every dirham spent contributes to a sustainable and prosperous future.</w:t>
      </w:r>
    </w:p>
    <w:p>
      <w:r>
        <w:pict>
          <v:rect style="width:0;height:1.5pt" o:hralign="center" o:hrstd="t" o:hr="t"/>
        </w:pict>
      </w:r>
    </w:p>
    <w:p>
      <w:pPr>
        <w:pStyle w:val="FirstParagraph"/>
      </w:pPr>
      <w:r>
        <w:rPr>
          <w:iCs/>
          <w:i/>
        </w:rPr>
        <w:t xml:space="preserve">This case study is for informational purposes and illustrates the general responsibilities and impact of financial analysis within the specified regional context.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2026-07-29T08:39:40Z</dcterms:created>
  <dcterms:modified xsi:type="dcterms:W3CDTF">2026-07-29T08:39:40Z</dcterms:modified>
</cp:coreProperties>
</file>

<file path=docProps/custom.xml><?xml version="1.0" encoding="utf-8"?>
<Properties xmlns="http://schemas.openxmlformats.org/officeDocument/2006/custom-properties" xmlns:vt="http://schemas.openxmlformats.org/officeDocument/2006/docPropsVTypes"/>
</file>