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Houston</w:t>
      </w:r>
    </w:p>
    <w:bookmarkStart w:id="20" w:name="X86ba866f42c7d25c40d85adbee347cd74ad4623"/>
    <w:p>
      <w:pPr>
        <w:pStyle w:val="Heading1"/>
      </w:pPr>
      <w:r>
        <w:t xml:space="preserve">Case Study: Navigating Energy Volatility and Strategic Growth</w:t>
      </w:r>
    </w:p>
    <w:p>
      <w:pPr>
        <w:pStyle w:val="FirstParagraph"/>
      </w:pPr>
      <w:r>
        <w:rPr>
          <w:bCs/>
          <w:b/>
        </w:rPr>
        <w:t xml:space="preserve">Focusing on the Role of the Financial Analyst in United States Houston</w:t>
      </w:r>
    </w:p>
    <w:bookmarkEnd w:id="20"/>
    <w:bookmarkStart w:id="21" w:name="executive-summary"/>
    <w:p>
      <w:pPr>
        <w:pStyle w:val="Heading2"/>
      </w:pPr>
      <w:r>
        <w:t xml:space="preserve">Executive Summary</w:t>
      </w:r>
    </w:p>
    <w:p>
      <w:pPr>
        <w:pStyle w:val="FirstParagraph"/>
      </w:pPr>
      <w:r>
        <w:t xml:space="preserve">The energy sector in Texas serves as a critical barometer for global economic health. In this dynamic environment, the role of the</w:t>
      </w:r>
      <w:r>
        <w:t xml:space="preserve"> </w:t>
      </w:r>
      <w:r>
        <w:rPr>
          <w:bCs/>
          <w:b/>
        </w:rPr>
        <w:t xml:space="preserve">Financial Analyst</w:t>
      </w:r>
      <w:r>
        <w:t xml:space="preserve">United States Houston. The document explores how data-driven insights directly influence corporate strategy in one of the world's most consequential industrial hubs.</w:t>
      </w:r>
    </w:p>
    <w:bookmarkEnd w:id="21"/>
    <w:bookmarkStart w:id="22" w:name="background-the-houston-context"/>
    <w:p>
      <w:pPr>
        <w:pStyle w:val="Heading2"/>
      </w:pPr>
      <w:r>
        <w:t xml:space="preserve">Background: The Houston Context</w:t>
      </w:r>
    </w:p>
    <w:p>
      <w:pPr>
        <w:pStyle w:val="FirstParagraph"/>
      </w:pPr>
      <w:r>
        <w:t xml:space="preserve">Houston, often referred to as the "Energy Capital of the World," is home to thousands of energy companies, including major integrated oil and gas corporations, independent exploration and production firms, and a vast network of service providers. For any professional operating in this region, understanding the local economic ecosystem is paramount. The city’s economy is deeply intertwined with crude oil prices, natural gas demand, and geopolitical events that affect global supply chains.</w:t>
      </w:r>
    </w:p>
    <w:p>
      <w:pPr>
        <w:pStyle w:val="BodyText"/>
      </w:pPr>
      <w:r>
        <w:t xml:space="preserve">In this specific case study, we look at "GulfStream Energy Solutions," a fictional mid-sized energy services provider based in</w:t>
      </w:r>
      <w:r>
        <w:t xml:space="preserve"> </w:t>
      </w:r>
      <w:r>
        <w:rPr>
          <w:bCs/>
          <w:b/>
        </w:rPr>
        <w:t xml:space="preserve">United States Houston</w:t>
      </w:r>
      <w:r>
        <w:t xml:space="preserve">. The company specializes in upstream operations, providing drilling and completion services. As the market shifted from the boom-bust cycles of the 2010s to a more stability-focused approach post-2020, GulfStream needed to optimize its capital allocation. This is where the</w:t>
      </w:r>
      <w:r>
        <w:t xml:space="preserve"> </w:t>
      </w:r>
      <w:r>
        <w:rPr>
          <w:bCs/>
          <w:b/>
        </w:rPr>
        <w:t xml:space="preserve">Financial Analyst</w:t>
      </w:r>
      <w:r>
        <w:t xml:space="preserve"> </w:t>
      </w:r>
      <w:r>
        <w:t xml:space="preserve">becomes indispensable.</w:t>
      </w:r>
    </w:p>
    <w:bookmarkEnd w:id="22"/>
    <w:bookmarkStart w:id="23" w:name="X867a9fcdacec551e35ed0f693d64437361c96ec"/>
    <w:p>
      <w:pPr>
        <w:pStyle w:val="Heading2"/>
      </w:pPr>
      <w:r>
        <w:t xml:space="preserve">The Challenge: Volatility and Capital Efficiency</w:t>
      </w:r>
    </w:p>
    <w:p>
      <w:pPr>
        <w:pStyle w:val="FirstParagraph"/>
      </w:pPr>
      <w:r>
        <w:t xml:space="preserve">GulfStream faced three primary challenges:</w:t>
      </w:r>
    </w:p>
    <w:p>
      <w:pPr>
        <w:numPr>
          <w:ilvl w:val="0"/>
          <w:numId w:val="1001"/>
        </w:numPr>
        <w:pStyle w:val="Compact"/>
      </w:pPr>
      <w:r>
        <w:rPr>
          <w:bCs/>
          <w:b/>
        </w:rPr>
        <w:t xml:space="preserve">Budgeting Accuracy:</w:t>
      </w:r>
      <w:r>
        <w:t xml:space="preserve"> </w:t>
      </w:r>
      <w:r>
        <w:t xml:space="preserve">Historical budgeting methods were reactive, leading to significant variances between projected and actual cash flows.</w:t>
      </w:r>
    </w:p>
    <w:p>
      <w:pPr>
        <w:numPr>
          <w:ilvl w:val="0"/>
          <w:numId w:val="1001"/>
        </w:numPr>
        <w:pStyle w:val="Compact"/>
      </w:pPr>
      <w:r>
        <w:rPr>
          <w:bCs/>
          <w:b/>
        </w:rPr>
        <w:t xml:space="preserve">Cash Flow Management:</w:t>
      </w:r>
      <w:r>
        <w:t xml:space="preserve"> </w:t>
      </w:r>
      <w:r>
        <w:t xml:space="preserve">With rising interest rates and tighter credit markets, maintaining liquidity was critical for operational continuity.</w:t>
      </w:r>
    </w:p>
    <w:p>
      <w:pPr>
        <w:numPr>
          <w:ilvl w:val="0"/>
          <w:numId w:val="1001"/>
        </w:numPr>
        <w:pStyle w:val="Compact"/>
      </w:pPr>
      <w:r>
        <w:rPr>
          <w:bCs/>
          <w:b/>
        </w:rPr>
        <w:t xml:space="preserve">Evaluation of New Ventures:</w:t>
      </w:r>
      <w:r>
        <w:t xml:space="preserve"> </w:t>
      </w:r>
      <w:r>
        <w:t xml:space="preserve">The company sought to diversify into renewable energy integration but lacked the analytical framework to assess ROI accurately in a transitional market.</w:t>
      </w:r>
    </w:p>
    <w:p>
      <w:pPr>
        <w:pStyle w:val="FirstParagraph"/>
      </w:pPr>
      <w:r>
        <w:rPr>
          <w:bCs/>
          <w:b/>
        </w:rPr>
        <w:t xml:space="preserve">Key Insight:</w:t>
      </w:r>
      <w:r>
        <w:t xml:space="preserve"> </w:t>
      </w:r>
      <w:r>
        <w:t xml:space="preserve">In the competitive landscape of</w:t>
      </w:r>
      <w:r>
        <w:t xml:space="preserve"> </w:t>
      </w:r>
      <w:r>
        <w:rPr>
          <w:bCs/>
          <w:b/>
        </w:rPr>
        <w:t xml:space="preserve">United States Houston</w:t>
      </w:r>
      <w:r>
        <w:t xml:space="preserve">, financial agility is not just about survival; it is the primary differentiator for sustainable growth. The Financial Analyst must act as a navigator through these turbulent waters.</w:t>
      </w:r>
    </w:p>
    <w:bookmarkEnd w:id="23"/>
    <w:bookmarkStart w:id="27" w:name="the-role-of-the-financial-analyst"/>
    <w:p>
      <w:pPr>
        <w:pStyle w:val="Heading2"/>
      </w:pPr>
      <w:r>
        <w:t xml:space="preserve">The Role of the Financial Analyst</w:t>
      </w:r>
    </w:p>
    <w:p>
      <w:pPr>
        <w:pStyle w:val="FirstParagraph"/>
      </w:pPr>
      <w:r>
        <w:t xml:space="preserve">To address these challenges, GulfStream empowered its team of</w:t>
      </w:r>
      <w:r>
        <w:t xml:space="preserve"> </w:t>
      </w:r>
      <w:r>
        <w:rPr>
          <w:bCs/>
          <w:b/>
        </w:rPr>
        <w:t xml:space="preserve">Financial Analysts</w:t>
      </w:r>
    </w:p>
    <w:bookmarkStart w:id="24" w:name="advanced-modeling-and-forecasting"/>
    <w:p>
      <w:pPr>
        <w:pStyle w:val="Heading3"/>
      </w:pPr>
      <w:r>
        <w:t xml:space="preserve">1. Advanced Modeling and Forecasting</w:t>
      </w:r>
    </w:p>
    <w:p>
      <w:pPr>
        <w:pStyle w:val="FirstParagraph"/>
      </w:pPr>
      <w:r>
        <w:t xml:space="preserve">The Financial Analyst was tasked with developing dynamic financial models that could simulate various oil price scenarios. Instead of static annual budgets, the analyst implemented rolling forecasts that adjusted quarterly based on market conditions. This involved integrating data from internal operations (such as rig utilization rates) with external data sources (such as EIA reports and Brent crude futures).</w:t>
      </w:r>
    </w:p>
    <w:p>
      <w:pPr>
        <w:pStyle w:val="BodyText"/>
      </w:pPr>
      <w:r>
        <w:t xml:space="preserve">In the context of</w:t>
      </w:r>
      <w:r>
        <w:t xml:space="preserve"> </w:t>
      </w:r>
      <w:r>
        <w:rPr>
          <w:bCs/>
          <w:b/>
        </w:rPr>
        <w:t xml:space="preserve">United States Houston</w:t>
      </w:r>
      <w:r>
        <w:t xml:space="preserve">, where many competitors rely heavily on leveraged balance sheets, these models allowed GulfStream to stress-test its liquidity against a 20% drop in commodity prices. This proactive approach provided executives with the confidence to make long-term investment decisions without jeopardizing short-term solvency.</w:t>
      </w:r>
    </w:p>
    <w:bookmarkEnd w:id="24"/>
    <w:bookmarkStart w:id="25" w:name="Xf793e7609aab219cc4a091bd4576bb97d013cac"/>
    <w:p>
      <w:pPr>
        <w:pStyle w:val="Heading3"/>
      </w:pPr>
      <w:r>
        <w:t xml:space="preserve">2. Capital Allocation and Investment Appraisal</w:t>
      </w:r>
    </w:p>
    <w:p>
      <w:pPr>
        <w:pStyle w:val="FirstParagraph"/>
      </w:pPr>
      <w:r>
        <w:t xml:space="preserve">A critical function of the Financial Analyst was to evaluate potential capital projects. Using discounted cash flow (DCF) analysis and internal rate of return (IRR) calculations, the analyst compared traditional drilling projects against new renewable initiatives.</w:t>
      </w:r>
    </w:p>
    <w:p>
      <w:pPr>
        <w:pStyle w:val="BodyText"/>
      </w:pPr>
      <w:r>
        <w:t xml:space="preserve">The analyst introduced a "real options" approach to valuation, acknowledging the uncertainty inherent in energy transition investments. This nuanced analysis helped the CFO determine that while immediate returns on renewable tech were low, the long-term strategic value and risk mitigation benefits justified a moderate capital allocation. This decision positioned GulfStream favorably for future regulatory incentives in</w:t>
      </w:r>
      <w:r>
        <w:t xml:space="preserve"> </w:t>
      </w:r>
      <w:r>
        <w:rPr>
          <w:bCs/>
          <w:b/>
        </w:rPr>
        <w:t xml:space="preserve">United States Houston</w:t>
      </w:r>
      <w:r>
        <w:t xml:space="preserve">.</w:t>
      </w:r>
    </w:p>
    <w:bookmarkEnd w:id="25"/>
    <w:bookmarkStart w:id="26" w:name="cost-control-and-operational-efficiency"/>
    <w:p>
      <w:pPr>
        <w:pStyle w:val="Heading3"/>
      </w:pPr>
      <w:r>
        <w:t xml:space="preserve">3. Cost Control and Operational Efficiency</w:t>
      </w:r>
    </w:p>
    <w:p>
      <w:pPr>
        <w:pStyle w:val="FirstParagraph"/>
      </w:pPr>
      <w:r>
        <w:t xml:space="preserve">In the high-cost operating environment of Texas, margin protection is vital. The Financial Analyst worked closely with operations teams to identify cost drivers. By implementing activity-based costing (ABC), the analyst was able to attribute costs more accurately to specific wells and projects.</w:t>
      </w:r>
    </w:p>
    <w:p>
      <w:pPr>
        <w:pStyle w:val="BodyText"/>
      </w:pPr>
      <w:r>
        <w:t xml:space="preserve">This granular visibility revealed that certain older assets were dragging down overall profitability. The analyst presented a recommendation to divest these non-core assets, freeing up capital for higher-yield operations. This strategic pivot was directly communicated by the Financial Analyst during quarterly business reviews with stakeholders.</w:t>
      </w:r>
    </w:p>
    <w:bookmarkEnd w:id="26"/>
    <w:bookmarkEnd w:id="27"/>
    <w:bookmarkStart w:id="28" w:name="implementation-and-results"/>
    <w:p>
      <w:pPr>
        <w:pStyle w:val="Heading2"/>
      </w:pPr>
      <w:r>
        <w:t xml:space="preserve">Implementation and Results</w:t>
      </w:r>
    </w:p>
    <w:p>
      <w:pPr>
        <w:pStyle w:val="FirstParagraph"/>
      </w:pPr>
      <w:r>
        <w:t xml:space="preserve">The implementation of these new financial strategies yielded significant results over an 18-month period:</w:t>
      </w:r>
    </w:p>
    <w:p>
      <w:pPr>
        <w:numPr>
          <w:ilvl w:val="0"/>
          <w:numId w:val="1002"/>
        </w:numPr>
        <w:pStyle w:val="Compact"/>
      </w:pPr>
      <w:r>
        <w:rPr>
          <w:bCs/>
          <w:b/>
        </w:rPr>
        <w:t xml:space="preserve">Budget Variance Reduction:</w:t>
      </w:r>
    </w:p>
    <w:p>
      <w:pPr>
        <w:numPr>
          <w:ilvl w:val="0"/>
          <w:numId w:val="1002"/>
        </w:numPr>
        <w:pStyle w:val="Compact"/>
      </w:pPr>
      <w:r>
        <w:rPr>
          <w:bCs/>
          <w:b/>
        </w:rPr>
        <w:t xml:space="preserve">Liquidity Strength:</w:t>
      </w:r>
      <w:r>
        <w:t xml:space="preserve"> </w:t>
      </w:r>
      <w:r>
        <w:t xml:space="preserve">The company maintained a stronger cash reserve, allowing it to withstand a temporary market downturn that impacted many regional competitors in</w:t>
      </w:r>
      <w:r>
        <w:t xml:space="preserve"> </w:t>
      </w:r>
      <w:r>
        <w:rPr>
          <w:bCs/>
          <w:b/>
        </w:rPr>
        <w:t xml:space="preserve">United States Houston</w:t>
      </w:r>
      <w:r>
        <w:t xml:space="preserve">.</w:t>
      </w:r>
    </w:p>
    <w:p>
      <w:pPr>
        <w:numPr>
          <w:ilvl w:val="0"/>
          <w:numId w:val="1002"/>
        </w:numPr>
        <w:pStyle w:val="Compact"/>
      </w:pPr>
      <w:r>
        <w:rPr>
          <w:bCs/>
          <w:b/>
        </w:rPr>
        <w:t xml:space="preserve">Diversified Portfolio:</w:t>
      </w:r>
      <w:r>
        <w:t xml:space="preserve"> </w:t>
      </w:r>
      <w:r>
        <w:t xml:space="preserve">Successful pilot projects in renewable energy integration were launched, supported by the rigorous financial modeling provided by the analyst.</w:t>
      </w:r>
    </w:p>
    <w:bookmarkEnd w:id="28"/>
    <w:bookmarkStart w:id="29" w:name="Xf36e21eeab7c176e7747bc566644414ae11c2ed"/>
    <w:p>
      <w:pPr>
        <w:pStyle w:val="Heading2"/>
      </w:pPr>
      <w:r>
        <w:t xml:space="preserve">The Human Element: Skills and Adaptability</w:t>
      </w:r>
    </w:p>
    <w:p>
      <w:pPr>
        <w:pStyle w:val="FirstParagraph"/>
      </w:pPr>
      <w:r>
        <w:t xml:space="preserve">Beyond technical proficiency in Excel, SQL, and BI tools, the success of this Financial Analyst hinged on soft skills. The ability to communicate complex financial data to non-financial stakeholders (such as geologists and engineers) was crucial. In the collaborative culture of</w:t>
      </w:r>
      <w:r>
        <w:t xml:space="preserve"> </w:t>
      </w:r>
      <w:r>
        <w:rPr>
          <w:bCs/>
          <w:b/>
        </w:rPr>
        <w:t xml:space="preserve">United States Houston</w:t>
      </w:r>
      <w:r>
        <w:t xml:space="preserve">, the analyst acted as a bridge between finance and operations.</w:t>
      </w:r>
    </w:p>
    <w:p>
      <w:pPr>
        <w:pStyle w:val="BodyText"/>
      </w:pPr>
      <w:r>
        <w:t xml:space="preserve">Furthermore, ethical stewardship played a role. With increasing scrutiny on Environmental, Social, and Governance (ESG) criteria, the Financial Analyst ensured that all financial reporting adhered to strict compliance standards. This integrity reinforced investor trust in GulfStream’s management.</w:t>
      </w:r>
    </w:p>
    <w:bookmarkEnd w:id="29"/>
    <w:bookmarkStart w:id="30" w:name="conclusion"/>
    <w:p>
      <w:pPr>
        <w:pStyle w:val="Heading2"/>
      </w:pPr>
      <w:r>
        <w:t xml:space="preserve">Conclusion</w:t>
      </w:r>
    </w:p>
    <w:p>
      <w:pPr>
        <w:pStyle w:val="FirstParagraph"/>
      </w:pPr>
      <w:r>
        <w:t xml:space="preserve">This case study illustrates that the role of the Financial Analyst in</w:t>
      </w:r>
      <w:r>
        <w:t xml:space="preserve"> </w:t>
      </w:r>
      <w:r>
        <w:rPr>
          <w:bCs/>
          <w:b/>
        </w:rPr>
        <w:t xml:space="preserve">United States Houston</w:t>
      </w:r>
    </w:p>
    <w:p>
      <w:pPr>
        <w:pStyle w:val="BodyText"/>
      </w:pPr>
      <w:r>
        <w:t xml:space="preserve">For organizations operating in this region, investing in robust financial analysis capabilities is not merely an administrative necessity but a competitive imperative. The insights generated by these professionals drive smarter capital allocation, enhance operational efficiency, and ensure long-term viability in a rapidly evolving global economy. As Houston continues to evolve as a hub for both traditional energy and the emerging green economy, the Financial Analyst will remain at the heart of strategic decision-making.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Houston</dc:title>
  <dc:creator/>
  <dc:language>en</dc:language>
  <cp:keywords/>
  <dcterms:created xsi:type="dcterms:W3CDTF">2026-07-29T05:07:43Z</dcterms:created>
  <dcterms:modified xsi:type="dcterms:W3CDTF">2026-07-29T05:07:43Z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