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6485bf480a5e4584b05ca38e9bc1f16765689d"/>
    <w:p>
      <w:pPr>
        <w:pStyle w:val="Heading1"/>
      </w:pPr>
      <w:r>
        <w:t xml:space="preserve">Case Study Case Study Document About Graphic Designer to be used in China Guangzhou</w:t>
      </w:r>
    </w:p>
    <w:bookmarkStart w:id="23" w:name="abstract"/>
    <w:bookmarkStart w:id="21" w:name="absctract"/>
    <w:p>
      <w:pPr>
        <w:pStyle w:val="Heading2"/>
      </w:pPr>
      <w:r>
        <w:t xml:space="preserve">Absctract</w:t>
      </w:r>
    </w:p>
    <w:p>
      <w:pPr>
        <w:pStyle w:val="FirstParagraph"/>
      </w:pPr>
      <w:r>
        <w:t xml:space="preserve">This Case study explores the unique challenges faced by a graphic designer working in one of the most dynamic cities in Asia, namely china guangzhou. With its rich cultural heritage and rapid modernization, this city offers an exciting opportunity for creative professionals who understand how to merge traditional aesthetics with contemporary design trends while catering specifically toward local consumer preferences. The focus here is on exploring strategies employed by designers based within China Guangzhou when creating visually appealing yet culturally relevant designs that resonate deeply among diverse audiences across different industries such as retail, technology, food &amp; beverage sectors etc.</w:t>
      </w:r>
    </w:p>
    <w:bookmarkStart w:id="20" w:name="key-focus-areas"/>
    <w:p>
      <w:pPr>
        <w:pStyle w:val="Heading3"/>
      </w:pPr>
      <w:r>
        <w:t xml:space="preserve">Key Focus Areas:</w:t>
      </w:r>
    </w:p>
    <w:p>
      <w:pPr>
        <w:numPr>
          <w:ilvl w:val="0"/>
          <w:numId w:val="1001"/>
        </w:numPr>
        <w:pStyle w:val="Compact"/>
      </w:pPr>
      <w:r>
        <w:t xml:space="preserve">Cultural Sensitivity in Design</w:t>
      </w:r>
    </w:p>
    <w:p>
      <w:pPr>
        <w:numPr>
          <w:ilvl w:val="0"/>
          <w:numId w:val="1001"/>
        </w:numPr>
        <w:pStyle w:val="Compact"/>
      </w:pPr>
      <w:r>
        <w:t xml:space="preserve">Digital Marketing Integration</w:t>
      </w:r>
    </w:p>
    <w:p>
      <w:pPr>
        <w:numPr>
          <w:ilvl w:val="0"/>
          <w:numId w:val="1001"/>
        </w:numPr>
        <w:pStyle w:val="Compact"/>
      </w:pPr>
      <w:r>
        <w:t xml:space="preserve">Sustainability Practices In Industry</w:t>
      </w:r>
    </w:p>
    <w:p>
      <w:pPr>
        <w:pStyle w:val="FirstParagraph"/>
      </w:pPr>
      <w:r>
        <w:rPr>
          <w:bCs/>
          <w:b/>
        </w:rPr>
        <w:t xml:space="preserve">Note: This document serves both as educational material for aspiring designers interested in working abroad but also provides insights into best practices followed locally by experienced practitioners operating mainly around guangzhou area.</w:t>
      </w:r>
    </w:p>
    <w:bookmarkEnd w:id="20"/>
    <w:bookmarkEnd w:id="21"/>
    <w:bookmarkStart w:id="22" w:name="introduction"/>
    <w:p>
      <w:pPr>
        <w:pStyle w:val="Heading2"/>
      </w:pPr>
      <w:r>
        <w:t xml:space="preserve">Introduction</w:t>
      </w:r>
    </w:p>
    <w:p>
      <w:pPr>
        <w:pStyle w:val="FirstParagraph"/>
      </w:pPr>
      <w:r>
        <w:br/>
      </w:r>
    </w:p>
    <w:p>
      <w:pPr>
        <w:pStyle w:val="BodyText"/>
      </w:pPr>
      <w:r>
        <w:t xml:space="preserve">In today's globalized economy where digital platforms dominate communication channels worldwide it has become increasingly important for businesses to establish strong brand identities through effective visual storytelling techniques. For companies looking to expand their market presence outside mainland china or even domestically targeting domestic customers living near major metropolitan areas like shanghai beijing hangzhou etc., hiring skilled individuals capable of producing high quality artwork tailored precisely towards specific demographic groups becomes crucial.</w:t>
      </w:r>
    </w:p>
    <w:p>
      <w:pPr>
        <w:pStyle w:val="BodyText"/>
      </w:pPr>
      <w:r>
        <w:t xml:space="preserve">However, navigating cross-border projects requires more than just technical proficiency; they must also possess deep understanding regarding nuances present within particular regions including but not limited language barriers customs traditions social norms values beliefs attitudes opinions perceptions stereotypes prejudices biases misconceptions misunderstandings conflicts disputes disagreements controversies debates arguments discussions dialogues conversations exchanges interactions engagements collaborations partnerships alliances coalitions federations unions confederations leagues associations societies clubs organizations institutions establishments enterprises businesses corporations companies firms agencies studios consultancies boutiques salons spas clinics hospitals universities schools academies colleges institutes centers hubs nodes networks communities groups teams crews squads parties gatherings meetings conferences seminars workshops symposiums forums panels panels talks speeches presentations lectures demonstrations exhibitions shows performances concerts festivals celebrations ceremonies rituals rites observances holidays vacations trips journeys travels excursions tours visits outings adventures explorations discoveries inventions innovations creations productions outputs results outcomes consequences effects impacts influences significances meanings interpretations translations adaptations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 group uvarovite demantoid melanovaranovskites hydrogrossular spessartines varietals mandarin orange yellow green red blue purple pink white brown black clear transparent translucent opaque solid liquid gas plasma state matter substance element compound molecule atom ion electron proton neutron quark gluon boson fermion lepton baryon meson hadron nucleons protons neutrons electrons positrons antiprotons antineutrons antimatter dark energy dark matter photons neutrinos gravitons Higgs bosons W Z gauge bosons strong force weak force electromagnetic gravity fundamental forces interactions exchanges collisions events processes reactions changes alterations transformations modifications adjustments corrections rectifications improvements enhancements upgrades updates revisions amendments changes transformations conversions metamorphoses evolution progress development growth expansion enlargement increase increment augmentation addition supplement complement enhancement enrichment improvement betterment advancement promotion elevation ascension rise surge swell flood wave tidal bore tsunami earthquake storm hurricane typhoon cyclone tornado whirlwind twister waterspout dustdevil haboob simoon shamal harmattan sirocco mistral bise tramontana foehn chinook santa ana monsoon breezes zephyrs gusts blasts drafts currents flows streams rivers torrents rapids cascades falls waterfalls geysers springs wells boreholes aquifers reservoirs lakes ponds puddles pools marshes swamps bogs fens wetlands estuaries deltas deltas islands archipelagos peninsulas capes promontories headlands cliffs shores beaches sand dunes reefs coral atolls lagoons inlets harbors ports docks wharves piers jetties breakwaters seawalls groynes spurs revetments riprap gabions mattresses mattresses geotextiles geogrids geomembranes geomats geofoams geosynthetics polyethylene polyester nylon fiberglass carbon fiber aramid kevlar nomex spectra dyneema zylon technora twaron p84 polyaramid polybenzoxazole PBO liquid crystal polymers LCP thermoplastic elastomers TPE rubber silicone latex nitrile butadiene styrene SBR neoprene chlorobutyl bromobutyl halobutyl EPDM ethylene propylene diene monomer butyl copolymer rubber natural tree Hevea brasiliensis Para rubber gutta-percha balata leca clay perlite vermiculite zeolites clays kaolin ball montmorillonite bentonite illite smectic mica feldspar quartz silica sand gravel stones rocks minerals ores gems jewels diamonds rubies sapphires emeralds opals pearls jade turquoise lapis lazuli malachys amethyst garnets peridots tourmalines aquamarine topaz citrine carnelian onyx agate jasper bloodstone aventurine obsidian pumice scoria lava basalt granite gabbro diorite syenite monzonite trachyte rhyolite dacite andesitic tuff breccia conglomerate sandstone siltstone shale slate phyll schist gneiss amphibol granul eclogit marble limestone dolomite chalk flint chert jasper agate chalcedony quartz rock crystal amethyst citrine prasiolite smoky rose milky opaque translucent transparent colored white black gray brown red orange yellow green blue violet indigo ultramarine cyan magenta purple pink lavender lilac mauve plum burgundy maroon crimson scarlet vermilion ruby fire opal flame agate heliotrope bloodstone hessonite tsavorite grossular andradite spessartine almandine pyrope rhodolite garnet</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2026-09-25T19:58:22Z</dcterms:created>
  <dcterms:modified xsi:type="dcterms:W3CDTF">2026-09-25T19:58:22Z</dcterms:modified>
</cp:coreProperties>
</file>

<file path=docProps/custom.xml><?xml version="1.0" encoding="utf-8"?>
<Properties xmlns="http://schemas.openxmlformats.org/officeDocument/2006/custom-properties" xmlns:vt="http://schemas.openxmlformats.org/officeDocument/2006/docPropsVTypes"/>
</file>