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Excellence</w:t>
      </w:r>
      <w:r>
        <w:t xml:space="preserve"> </w:t>
      </w:r>
      <w:r>
        <w:t xml:space="preserve">in</w:t>
      </w:r>
      <w:r>
        <w:t xml:space="preserve"> </w:t>
      </w:r>
      <w:r>
        <w:t xml:space="preserve">Frankfurt</w:t>
      </w:r>
    </w:p>
    <w:bookmarkStart w:id="28" w:name="Xd9ce39bc3d942e43602066a34c3a3cc46e05f48"/>
    <w:p>
      <w:pPr>
        <w:pStyle w:val="Heading1"/>
      </w:pPr>
      <w:r>
        <w:t xml:space="preserve">Case Study: Strategic Graphic Design Integration in the Financial Hub of Germany Frankfurt</w:t>
      </w:r>
    </w:p>
    <w:p>
      <w:pPr>
        <w:pStyle w:val="FirstParagraph"/>
      </w:pPr>
      <w:r>
        <w:rPr>
          <w:bCs/>
          <w:b/>
        </w:rPr>
        <w:t xml:space="preserve">Date:</w:t>
      </w:r>
      <w:r>
        <w:t xml:space="preserve"> </w:t>
      </w:r>
      <w:r>
        <w:t xml:space="preserve">October 2023</w:t>
      </w:r>
      <w:r>
        <w:br/>
      </w:r>
      <w:r>
        <w:rPr>
          <w:bCs/>
          <w:b/>
        </w:rPr>
        <w:t xml:space="preserve">Tier:</w:t>
      </w:r>
    </w:p>
    <w:p>
      <w:pPr>
        <w:pStyle w:val="BodyText"/>
      </w:pPr>
      <w:r>
        <w:t xml:space="preserve">.</w:t>
      </w:r>
      <w:r>
        <w:br/>
      </w:r>
    </w:p>
    <w:bookmarkStart w:id="20" w:name="Xb11af5f3fea49234e6e2ca36b1e2b9dae0b183c"/>
    <w:p>
      <w:pPr>
        <w:pStyle w:val="Heading2"/>
      </w:pPr>
      <w:r>
        <w:t xml:space="preserve">The Role of the Graphic Designer in a Global City.</w:t>
      </w:r>
    </w:p>
    <w:p>
      <w:pPr>
        <w:pStyle w:val="FirstParagraph"/>
      </w:pPr>
      <w:r>
        <w:t xml:space="preserve">In today's competitive global landscape, visual communication is not merely an aesthetic choice; it is a strategic business imperative. This case study explores the critical role of a Graphic Designer operating within one of Europe’s most dynamic economic centers: Germany Frankfurt. Often referred to as "Mainhattan" due to its striking skyline and dense concentration of financial institutions, Frankfurt presents unique challenges and opportunities for visual branding.</w:t>
      </w:r>
    </w:p>
    <w:bookmarkEnd w:id="20"/>
    <w:bookmarkStart w:id="21" w:name="X883e5a587cc3fc03d031fe5d221ac5c5b05d9d2"/>
    <w:p>
      <w:pPr>
        <w:pStyle w:val="Heading2"/>
      </w:pPr>
      <w:r>
        <w:t xml:space="preserve">The Role of a Graphic Designer in Germany</w:t>
      </w:r>
    </w:p>
    <w:p>
      <w:pPr>
        <w:pStyle w:val="FirstParagraph"/>
      </w:pPr>
      <w:r>
        <w:t xml:space="preserve">A Graphic Designer serves as the bridge between abstract business concepts and tangible visual identity. In the context of Germany Frankfurt, this role demands a nuanced understanding of both international design trends and local cultural expectations. The primary responsibility involves creating compelling visuals that convey professionalism, trustworthiness, and innovation.</w:t>
      </w:r>
    </w:p>
    <w:bookmarkEnd w:id="21"/>
    <w:bookmarkStart w:id="22" w:name="the-specific-context-germany-frankfurt"/>
    <w:p>
      <w:pPr>
        <w:pStyle w:val="Heading2"/>
      </w:pPr>
      <w:r>
        <w:t xml:space="preserve">The Specific Context: Germany Frankfurt</w:t>
      </w:r>
    </w:p>
    <w:p>
      <w:pPr>
        <w:pStyle w:val="FirstParagraph"/>
      </w:pPr>
      <w:r>
        <w:t xml:space="preserve">Selecting Germany as the operational base provides a stable economic backdrop with high standards for quality and precision. Within this national framework, Frankfurt stands out as a specific microcosm of global commerce. As the financial capital of Germany and home to the European Central Bank, Deutsche Börse, and numerous international banks, the city’s visual landscape is heavily influenced by corporate finance.</w:t>
      </w:r>
    </w:p>
    <w:p>
      <w:pPr>
        <w:pStyle w:val="BodyText"/>
      </w:pPr>
      <w:r>
        <w:t xml:space="preserve">However,</w:t>
      </w:r>
      <w:r>
        <w:rPr>
          <w:bCs/>
          <w:b/>
        </w:rPr>
        <w:t xml:space="preserve">Germany</w:t>
      </w:r>
      <w:r>
        <w:t xml:space="preserve">Frankfurt also boasts a vibrant startup scene in tech (FinTech) and a rich cultural heritage. Therefore, a Graphic Designer must navigate these dual identities: maintaining the solemnity required by traditional banking while embracing the agility needed for modern technology companies.</w:t>
      </w:r>
    </w:p>
    <w:bookmarkEnd w:id="22"/>
    <w:bookmarkStart w:id="23" w:name="X70a70e5acd6cf00e6483014117ccf320c4b491b"/>
    <w:p>
      <w:pPr>
        <w:pStyle w:val="Heading2"/>
      </w:pPr>
      <w:r>
        <w:t xml:space="preserve">The Challenge: Balancing Tradition and Innovation</w:t>
      </w:r>
    </w:p>
    <w:p>
      <w:pPr>
        <w:pStyle w:val="FirstParagraph"/>
      </w:pPr>
      <w:r>
        <w:rPr>
          <w:bCs/>
          <w:b/>
        </w:rPr>
        <w:t xml:space="preserve">The Project Brief:</w:t>
      </w:r>
      <w:r>
        <w:br/>
      </w:r>
      <w:r>
        <w:t xml:space="preserve">A mid-sized FinTech company, "NeoBank DE," sought to rebrand itself. Their goal was to establish credibility among conservative investors while simultaneously appealing to a younger, tech-savvy demographic in Germany Frankfurt.</w:t>
      </w:r>
    </w:p>
    <w:p>
      <w:pPr>
        <w:pStyle w:val="BodyText"/>
      </w:pPr>
      <w:r>
        <w:rPr>
          <w:bCs/>
          <w:b/>
        </w:rPr>
        <w:t xml:space="preserve">Key Challenges Identified:</w:t>
      </w:r>
    </w:p>
    <w:p>
      <w:pPr>
        <w:numPr>
          <w:ilvl w:val="0"/>
          <w:numId w:val="1001"/>
        </w:numPr>
        <w:pStyle w:val="Compact"/>
      </w:pPr>
      <w:r>
        <w:rPr>
          <w:bCs/>
          <w:b/>
        </w:rPr>
        <w:t xml:space="preserve">Cultural Expectations:</w:t>
      </w:r>
      <w:r>
        <w:t xml:space="preserve">In German business culture, clarity and functionality are prized over excessive ornamentation. The design needed to reflect "Form follows function" – a principle deeply rooted in German Bauhaus heritage.</w:t>
      </w:r>
    </w:p>
    <w:p>
      <w:pPr>
        <w:numPr>
          <w:ilvl w:val="0"/>
          <w:numId w:val="1001"/>
        </w:numPr>
        <w:pStyle w:val="Compact"/>
      </w:pPr>
      <w:r>
        <w:rPr>
          <w:bCs/>
          <w:b/>
        </w:rPr>
        <w:t xml:space="preserve">Dual Audience:</w:t>
      </w:r>
      <w:r>
        <w:t xml:space="preserve">The visual identity had to speak two languages simultaneously: the serious tone of traditional finance and the energetic vibe of digital innovation.</w:t>
      </w:r>
    </w:p>
    <w:p>
      <w:pPr>
        <w:numPr>
          <w:ilvl w:val="0"/>
          <w:numId w:val="1001"/>
        </w:numPr>
        <w:pStyle w:val="Compact"/>
      </w:pPr>
      <w:r>
        <w:rPr>
          <w:bCs/>
          <w:b/>
        </w:rPr>
        <w:t xml:space="preserve">Regulatory Compliance:</w:t>
      </w:r>
      <w:r>
        <w:t xml:space="preserve">In Germany Frankfurt, financial advertising is subject to strict regulations. The Graphic Designer needed to ensure all visual elements adhered to compliance standards without compromising aesthetic appeal.</w:t>
      </w:r>
    </w:p>
    <w:bookmarkEnd w:id="23"/>
    <w:bookmarkStart w:id="24" w:name="the-solution-a-strategic-design-approach"/>
    <w:p>
      <w:pPr>
        <w:pStyle w:val="Heading2"/>
      </w:pPr>
      <w:r>
        <w:t xml:space="preserve">The Solution: A Strategic Design Approach</w:t>
      </w:r>
    </w:p>
    <w:p>
      <w:pPr>
        <w:pStyle w:val="FirstParagraph"/>
      </w:pPr>
      <w:r>
        <w:t xml:space="preserve">To address these challenges, the Graphic Designer implemented a multi-faceted strategy focused on minimalism, color psychology, and typographic hierarchy.</w:t>
      </w:r>
    </w:p>
    <w:p>
      <w:pPr>
        <w:pStyle w:val="FirstParagraph"/>
      </w:pPr>
      <w:r>
        <w:t xml:space="preserve">.</w:t>
      </w:r>
      <w:r>
        <w:br/>
      </w:r>
      <w:r>
        <w:t xml:space="preserve">1.</w:t>
      </w:r>
      <w:r>
        <w:rPr>
          <w:bCs/>
          <w:b/>
        </w:rPr>
        <w:t xml:space="preserve">Audit and Analysis:</w:t>
      </w:r>
      <w:r>
        <w:t xml:space="preserve">The first step involved analyzing competitors in Germany Frankfurt. It was observed that most traditional banks used deep blues and greys to signify stability. NeoBank DE needed a differentiator.</w:t>
      </w:r>
    </w:p>
    <w:p>
      <w:pPr>
        <w:pStyle w:val="BodyText"/>
      </w:pPr>
      <w:r>
        <w:rPr>
          <w:bCs/>
          <w:b/>
        </w:rPr>
        <w:t xml:space="preserve">Color Palette Selection:</w:t>
      </w:r>
      <w:r>
        <w:t xml:space="preserve">The Graphic Designer introduced a primary palette of deep navy blue (representing trust and tradition) accented with vibrant electric green (symbolizing growth, money, and digital agility). This combination honored the conservative nature of Germany Frankfurt's financial sector while signaling modernity.</w:t>
      </w:r>
    </w:p>
    <w:p>
      <w:pPr>
        <w:pStyle w:val="BodyText"/>
      </w:pPr>
      <w:r>
        <w:rPr>
          <w:bCs/>
          <w:b/>
        </w:rPr>
        <w:t xml:space="preserve">Typography:</w:t>
      </w:r>
      <w:r>
        <w:t xml:space="preserve">A sans-serif typeface was chosen for its clean lines and high legibility. This choice reflected the German value placed on efficiency and clear communication. The typography was used to create a sense of order and structure, crucial for building trust in financial services.</w:t>
      </w:r>
    </w:p>
    <w:p>
      <w:pPr>
        <w:pStyle w:val="BodyText"/>
      </w:pPr>
      <w:r>
        <w:rPr>
          <w:bCs/>
          <w:b/>
        </w:rPr>
        <w:t xml:space="preserve">User-Centric Iconsography:</w:t>
      </w:r>
      <w:r>
        <w:t xml:space="preserve">The Graphic Designer created custom icons that simplified complex financial concepts into easily digestible visuals. This approach reduced cognitive load for users, enhancing the user experience across digital platforms.</w:t>
      </w:r>
    </w:p>
    <w:p>
      <w:pPr>
        <w:pStyle w:val="BodyText"/>
      </w:pPr>
      <w:r>
        <w:rPr>
          <w:bCs/>
          <w:b/>
        </w:rPr>
        <w:t xml:space="preserve">Rigorous Testing:</w:t>
      </w:r>
      <w:r>
        <w:t xml:space="preserve">Prototypes were tested with focus groups comprising both older investors and younger tech enthusiasts. Feedback indicated that the new design successfully balanced professionalism with approachability.</w:t>
      </w:r>
    </w:p>
    <w:p>
      <w:pPr>
        <w:pStyle w:val="BodyText"/>
      </w:pPr>
      <w:r>
        <w:t xml:space="preserve">.</w:t>
      </w:r>
      <w:r>
        <w:br/>
      </w:r>
    </w:p>
    <w:bookmarkEnd w:id="24"/>
    <w:bookmarkStart w:id="25" w:name="the-outcome"/>
    <w:p>
      <w:pPr>
        <w:pStyle w:val="Heading2"/>
      </w:pPr>
      <w:r>
        <w:t xml:space="preserve">The Outcome</w:t>
      </w:r>
    </w:p>
    <w:p>
      <w:pPr>
        <w:pStyle w:val="FirstParagraph"/>
      </w:pPr>
      <w:r>
        <w:t xml:space="preserve">The rebranding campaign, spearheaded by the Graphic Designer, resulted in significant improvements for NeoBank DE:</w:t>
      </w:r>
    </w:p>
    <w:p>
      <w:pPr>
        <w:numPr>
          <w:ilvl w:val="0"/>
          <w:numId w:val="1003"/>
        </w:numPr>
        <w:pStyle w:val="Compact"/>
      </w:pPr>
      <w:r>
        <w:rPr>
          <w:bCs/>
          <w:b/>
        </w:rPr>
        <w:t xml:space="preserve">Increased Brand Recognition:</w:t>
      </w:r>
      <w:r>
        <w:t xml:space="preserve">Six months post-launch, brand recall among target demographics in Germany Frankfurt increased by 35%.</w:t>
      </w:r>
    </w:p>
    <w:p>
      <w:pPr>
        <w:numPr>
          <w:ilvl w:val="0"/>
          <w:numId w:val="1003"/>
        </w:numPr>
        <w:pStyle w:val="Compact"/>
      </w:pPr>
      <w:r>
        <w:rPr>
          <w:bCs/>
          <w:b/>
        </w:rPr>
        <w:t xml:space="preserve">User Engagement:</w:t>
      </w:r>
      <w:r>
        <w:t xml:space="preserve">The intuitive visual hierarchy led to a 20% increase in user engagement with financial tools on the app.</w:t>
      </w:r>
    </w:p>
    <w:p>
      <w:pPr>
        <w:numPr>
          <w:ilvl w:val="0"/>
          <w:numId w:val="1003"/>
        </w:numPr>
        <w:pStyle w:val="Compact"/>
      </w:pPr>
      <w:r>
        <w:rPr>
          <w:bCs/>
          <w:b/>
        </w:rPr>
        <w:t xml:space="preserve">Credibility Enhanced:</w:t>
      </w:r>
      <w:r>
        <w:t xml:space="preserve">The design successfully conveyed reliability, leading to a 15% growth in institutional partnerships within the first year.</w:t>
      </w:r>
    </w:p>
    <w:p>
      <w:pPr>
        <w:pStyle w:val="FirstParagraph"/>
      </w:pPr>
      <w:r>
        <w:t xml:space="preserve">.</w:t>
      </w:r>
      <w:r>
        <w:br/>
      </w:r>
    </w:p>
    <w:bookmarkEnd w:id="25"/>
    <w:bookmarkStart w:id="26" w:name="lessons-learned"/>
    <w:p>
      <w:pPr>
        <w:pStyle w:val="Heading2"/>
      </w:pPr>
      <w:r>
        <w:t xml:space="preserve">Lessons Learned</w:t>
      </w:r>
    </w:p>
    <w:p>
      <w:pPr>
        <w:pStyle w:val="FirstParagraph"/>
      </w:pPr>
      <w:r>
        <w:t xml:space="preserve">This case study underscores several key lessons for any Graphic Designer working in specialized markets like Germany Frankfurt:</w:t>
      </w:r>
    </w:p>
    <w:p>
      <w:pPr>
        <w:pStyle w:val="FirstParagraph"/>
      </w:pPr>
      <w:r>
        <w:t xml:space="preserve">.</w:t>
      </w:r>
      <w:r>
        <w:br/>
      </w:r>
      <w:r>
        <w:t xml:space="preserve">1.</w:t>
      </w:r>
      <w:r>
        <w:rPr>
          <w:bCs/>
          <w:b/>
        </w:rPr>
        <w:t xml:space="preserve">Cultural Sensitivity is Paramount:In Germany</w:t>
      </w:r>
      <w:r>
        <w:t xml:space="preserve">, visual communication must be clear, honest, and functional. Excessive decoration can be perceived as untrustworthy.</w:t>
      </w:r>
    </w:p>
    <w:p>
      <w:pPr>
        <w:pStyle w:val="BodyText"/>
      </w:pPr>
      <w:r>
        <w:rPr>
          <w:bCs/>
          <w:b/>
        </w:rPr>
        <w:t xml:space="preserve">Context Matters:</w:t>
      </w:r>
      <w:r>
        <w:t xml:space="preserve">A Graphic Designer must understand the specific industry dynamics of their location. In</w:t>
      </w:r>
      <w:r>
        <w:t xml:space="preserve"> </w:t>
      </w:r>
      <w:r>
        <w:t xml:space="preserve">Frankfurt</w:t>
      </w:r>
      <w:r>
        <w:t xml:space="preserve">, understanding the tension between legacy finance and FinTech is crucial for effective branding.</w:t>
      </w:r>
    </w:p>
    <w:p>
      <w:pPr>
        <w:pStyle w:val="BodyText"/>
      </w:pPr>
      <w:r>
        <w:rPr>
          <w:bCs/>
          <w:b/>
        </w:rPr>
        <w:t xml:space="preserve">Bridging Generations:</w:t>
      </w:r>
      <w:r>
        <w:t xml:space="preserve">The most successful designs in diverse markets like Germany Frankfurt are those that can appeal to multiple demographics without alienating any single group.</w:t>
      </w:r>
    </w:p>
    <w:p>
      <w:pPr>
        <w:pStyle w:val="BodyText"/>
      </w:pPr>
      <w:r>
        <w:t xml:space="preserve">.</w:t>
      </w:r>
      <w:r>
        <w:br/>
      </w:r>
    </w:p>
    <w:bookmarkEnd w:id="26"/>
    <w:bookmarkStart w:id="27" w:name="conclusion"/>
    <w:p>
      <w:pPr>
        <w:pStyle w:val="Heading2"/>
      </w:pPr>
      <w:r>
        <w:t xml:space="preserve">Conclusion</w:t>
      </w:r>
    </w:p>
    <w:p>
      <w:pPr>
        <w:pStyle w:val="FirstParagraph"/>
      </w:pPr>
      <w:r>
        <w:t xml:space="preserve">The role of a Graphic Designer in Germany Frankfurt extends far beyond creating aesthetically pleasing images. It involves strategic problem-solving, cultural interpretation, and technical precision. As demonstrated by the NeoBank DE case study, a well-executed design strategy can significantly impact business success in competitive environments.</w:t>
      </w:r>
    </w:p>
    <w:p>
      <w:pPr>
        <w:pStyle w:val="BodyText"/>
      </w:pPr>
      <w:r>
        <w:t xml:space="preserve">For businesses operating in or expanding to Germany Frankfurt, investing in professional Graphic Design services is not an expense but a critical investment. The ability to communicate effectively through visual means can determine whether a brand thrives or fades into obscurity in one of Europe's most demanding economic landscapes. Ultimately, the synergy between artistic creativity and strategic thinking defines the modern Graphic Designer’s value proposition.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Excellence in Frankfurt</dc:title>
  <dc:creator/>
  <dc:language>en</dc:language>
  <cp:keywords/>
  <dcterms:created xsi:type="dcterms:W3CDTF">2026-07-29T14:16:03Z</dcterms:created>
  <dcterms:modified xsi:type="dcterms:W3CDTF">2026-07-29T14:16:03Z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