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w:t>
      </w:r>
      <w:r>
        <w:t xml:space="preserve"> </w:t>
      </w:r>
      <w:r>
        <w:t xml:space="preserve">Excellence</w:t>
      </w:r>
      <w:r>
        <w:t xml:space="preserve"> </w:t>
      </w:r>
      <w:r>
        <w:t xml:space="preserve">in</w:t>
      </w:r>
      <w:r>
        <w:t xml:space="preserve"> </w:t>
      </w:r>
      <w:r>
        <w:t xml:space="preserve">Israel</w:t>
      </w:r>
      <w:r>
        <w:t xml:space="preserve"> </w:t>
      </w:r>
      <w:r>
        <w:t xml:space="preserve">Tel</w:t>
      </w:r>
      <w:r>
        <w:t xml:space="preserve"> </w:t>
      </w:r>
      <w:r>
        <w:t xml:space="preserve">Aviv</w:t>
      </w:r>
    </w:p>
    <w:bookmarkStart w:id="31" w:name="Xd57fb6765dadf91bcd1450e72983c3ab42e5847"/>
    <w:p>
      <w:pPr>
        <w:pStyle w:val="Heading1"/>
      </w:pPr>
      <w:r>
        <w:t xml:space="preserve">Case Study: Navigating the Visual Landscape of Graphic Design in Israel Tel Aviv</w:t>
      </w:r>
    </w:p>
    <w:p>
      <w:pPr>
        <w:pStyle w:val="FirstParagraph"/>
      </w:pPr>
      <w:r>
        <w:rPr>
          <w:bCs/>
          <w:b/>
        </w:rPr>
        <w:t xml:space="preserve">Date:</w:t>
      </w:r>
      <w:r>
        <w:t xml:space="preserve"> </w:t>
      </w:r>
      <w:r>
        <w:t xml:space="preserve">October 2023</w:t>
      </w:r>
      <w:r>
        <w:br/>
      </w:r>
    </w:p>
    <w:p>
      <w:pPr>
        <w:pStyle w:val="BodyText"/>
      </w:pPr>
      <w:r>
        <w:t xml:space="preserve">The Evolution and Impact of a Senior Graphic Designer in a High-Velocity Market</w:t>
      </w:r>
      <w:r>
        <w:br/>
      </w:r>
    </w:p>
    <w:p>
      <w:pPr>
        <w:pStyle w:val="BodyText"/>
      </w:pPr>
      <w:r>
        <w:t xml:space="preserve">Israel, Tel Aviv</w:t>
      </w:r>
    </w:p>
    <w:bookmarkStart w:id="20" w:name="executive-summary"/>
    <w:p>
      <w:pPr>
        <w:pStyle w:val="Heading2"/>
      </w:pPr>
      <w:r>
        <w:t xml:space="preserve">1. Executive Summary</w:t>
      </w:r>
    </w:p>
    <w:p>
      <w:pPr>
        <w:pStyle w:val="FirstParagraph"/>
      </w:pPr>
      <w:r>
        <w:t xml:space="preserve">In the heart of the Middle East, few cities embody the fusion of ancient tradition and hyper-modern innovation quite like Tel Aviv. This case study explores the professional journey and strategic impact of a leading Graphic Designer operating within this unique ecosystem. The document analyzes how cultural nuances, market demands, and technological advancements in Israel Tel Aviv shape the workflow, creative output, and business strategy of graphic design professionals. By examining specific project outcomes and operational challenges, we aim to provide a comprehensive overview of what it takes to succeed as a Graphic Designer in one of the world’s most dynamic startup hubs.</w:t>
      </w:r>
    </w:p>
    <w:bookmarkEnd w:id="20"/>
    <w:bookmarkStart w:id="21" w:name="Xfa8ed57b74574dec85a1354bf9d2565e1059a60"/>
    <w:p>
      <w:pPr>
        <w:pStyle w:val="Heading2"/>
      </w:pPr>
      <w:r>
        <w:t xml:space="preserve">2. Contextual Background: The Tel Aviv Ecosystem</w:t>
      </w:r>
    </w:p>
    <w:p>
      <w:pPr>
        <w:pStyle w:val="FirstParagraph"/>
      </w:pPr>
      <w:r>
        <w:t xml:space="preserve">Tel Aviv is frequently referred to as "Silicon Wadi," boasting one of the highest densities of startups per capita globally. For a Graphic Designer, this environment presents a unique set of challenges and opportunities. The market in Israel Tel Aviv is characterized by rapid iteration, high expectations for digital-first aesthetics, and a diverse cultural tapestry.</w:t>
      </w:r>
    </w:p>
    <w:p>
      <w:pPr>
        <w:pStyle w:val="BodyText"/>
      </w:pPr>
      <w:r>
        <w:t xml:space="preserve">The city serves as a crossroads between East and West. A Graphic Designer working here must possess not only technical proficiency but also cultural intelligence. They must navigate a bilingual landscape (Hebrew and English), understand local visual semiotics, and cater to an international clientele that expects world-class design standards comparable to those in New York, London, or San Francisco.</w:t>
      </w:r>
    </w:p>
    <w:bookmarkEnd w:id="21"/>
    <w:bookmarkStart w:id="22" w:name="Xa94affcb3ab9577ef4b1ffbbca7d404441ae4b3"/>
    <w:p>
      <w:pPr>
        <w:pStyle w:val="Heading2"/>
      </w:pPr>
      <w:r>
        <w:t xml:space="preserve">3. Professional Profile: The Modern Graphic Designer</w:t>
      </w:r>
    </w:p>
    <w:p>
      <w:pPr>
        <w:pStyle w:val="FirstParagraph"/>
      </w:pPr>
      <w:r>
        <w:t xml:space="preserve">To thrive in this environment, the profile of a successful Graphic Designer extends far beyond mere aesthetic sensibility. In Israel Tel Aviv, the role often morphs into that of a "Product Visual Strategist." Key competencies include:</w:t>
      </w:r>
    </w:p>
    <w:p>
      <w:pPr>
        <w:numPr>
          <w:ilvl w:val="0"/>
          <w:numId w:val="1001"/>
        </w:numPr>
        <w:pStyle w:val="Compact"/>
      </w:pPr>
      <w:r>
        <w:rPr>
          <w:bCs/>
          <w:b/>
        </w:rPr>
        <w:t xml:space="preserve">Digital Fluency:</w:t>
      </w:r>
      <w:r>
        <w:t xml:space="preserve"> </w:t>
      </w:r>
      <w:r>
        <w:t xml:space="preserve">Mastery of UI/UX principles, motion graphics, and interactive media is non-negotiable due to the tech-heavy nature of the local economy.</w:t>
      </w:r>
    </w:p>
    <w:p>
      <w:pPr>
        <w:numPr>
          <w:ilvl w:val="0"/>
          <w:numId w:val="1001"/>
        </w:numPr>
        <w:pStyle w:val="Compact"/>
      </w:pPr>
      <w:r>
        <w:rPr>
          <w:bCs/>
          <w:b/>
        </w:rPr>
        <w:t xml:space="preserve">Cultural Adaptability:</w:t>
      </w:r>
      <w:r>
        <w:t xml:space="preserve"> </w:t>
      </w:r>
      <w:r>
        <w:t xml:space="preserve">The ability to toggle between minimalistic Western design trends and vibrant, complex Middle Eastern visual storytelling.</w:t>
      </w:r>
    </w:p>
    <w:p>
      <w:pPr>
        <w:numPr>
          <w:ilvl w:val="0"/>
          <w:numId w:val="1001"/>
        </w:numPr>
        <w:pStyle w:val="Compact"/>
      </w:pPr>
      <w:r>
        <w:rPr>
          <w:bCs/>
          <w:b/>
        </w:rPr>
        <w:t xml:space="preserve">Rapid Prototyping:</w:t>
      </w:r>
      <w:r>
        <w:t xml:space="preserve"> </w:t>
      </w:r>
      <w:r>
        <w:t xml:space="preserve">Given the fast-paced startup culture in Israel Tel Aviv, designers must be able to produce high-fidelity mockups and iterate quickly based on user feedback.</w:t>
      </w:r>
    </w:p>
    <w:bookmarkEnd w:id="22"/>
    <w:bookmarkStart w:id="26" w:name="case-scenario-the-fintech-rebrand"/>
    <w:p>
      <w:pPr>
        <w:pStyle w:val="Heading2"/>
      </w:pPr>
      <w:r>
        <w:t xml:space="preserve">4. Case Scenario: The FinTech Rebrand</w:t>
      </w:r>
    </w:p>
    <w:p>
      <w:pPr>
        <w:pStyle w:val="FirstParagraph"/>
      </w:pPr>
      <w:r>
        <w:t xml:space="preserve">To illustrate these dynamics, we examine a specific project involving a Series B funded fintech startup based in Israel Tel Aviv. The company sought to expand its market reach from the local Israeli consumer base to European and North American investors.</w:t>
      </w:r>
    </w:p>
    <w:bookmarkStart w:id="23" w:name="the-challenge"/>
    <w:p>
      <w:pPr>
        <w:pStyle w:val="Heading3"/>
      </w:pPr>
      <w:r>
        <w:t xml:space="preserve">4.1 The Challenge</w:t>
      </w:r>
    </w:p>
    <w:p>
      <w:pPr>
        <w:pStyle w:val="FirstParagraph"/>
      </w:pPr>
      <w:r>
        <w:t xml:space="preserve">The client’s existing brand identity was heavily rooted in local Hebrew typography and colors that resonated well domestically but felt insular to international audiences. The Graphic Designer was tasked with rebranding the company to appear globally competitive while retaining a distinct "Israeli" essence of innovation and resilience. The primary challenge lay in balancing global corporate trust signals with the energetic, unconventional vibe associated with Tel Aviv tech culture.</w:t>
      </w:r>
    </w:p>
    <w:bookmarkEnd w:id="23"/>
    <w:bookmarkStart w:id="24" w:name="strategic-approach"/>
    <w:p>
      <w:pPr>
        <w:pStyle w:val="Heading3"/>
      </w:pPr>
      <w:r>
        <w:t xml:space="preserve">4.2 Strategic Approach</w:t>
      </w:r>
    </w:p>
    <w:p>
      <w:pPr>
        <w:pStyle w:val="FirstParagraph"/>
      </w:pPr>
      <w:r>
        <w:t xml:space="preserve">The Graphic Designer initiated a comprehensive audit of the current brand assets. Recognizing that direct translation of Hebrew scripts often fails to convey meaning in English-speaking markets, the designer opted for a logomark approach rather than a logotype. This involved creating an abstract symbol that utilized geometric shapes reminiscent of Mediterranean architecture, subtly nodding to local heritage without relying on language.</w:t>
      </w:r>
    </w:p>
    <w:p>
      <w:pPr>
        <w:pStyle w:val="BodyText"/>
      </w:pPr>
      <w:r>
        <w:t xml:space="preserve">Furthermore, the color palette was adjusted. While maintaining high energy through vibrant oranges and blues (common in the region), the saturation levels were slightly muted to align with contemporary European financial sector aesthetics. This subtle shift helped bridge the cultural gap between a Tel Aviv startup and a conservative banking audience.</w:t>
      </w:r>
    </w:p>
    <w:bookmarkEnd w:id="24"/>
    <w:bookmarkStart w:id="25" w:name="execution-and-collaboration"/>
    <w:p>
      <w:pPr>
        <w:pStyle w:val="Heading3"/>
      </w:pPr>
      <w:r>
        <w:t xml:space="preserve">4.3 Execution and Collaboration</w:t>
      </w:r>
    </w:p>
    <w:p>
      <w:pPr>
        <w:pStyle w:val="FirstParagraph"/>
      </w:pPr>
      <w:r>
        <w:t xml:space="preserve">Collaboration was key in this case study. The Graphic Designer worked closely with developers to ensure that the new visual identity could be implemented fluidly across web platforms, mobile applications, and investor pitch decks. Regular syncs were held to test accessibility standards (WCAG compliance) and responsiveness across devices, a critical requirement for modern digital products.</w:t>
      </w:r>
    </w:p>
    <w:bookmarkEnd w:id="25"/>
    <w:bookmarkEnd w:id="26"/>
    <w:bookmarkStart w:id="28" w:name="outcomes-and-impact"/>
    <w:p>
      <w:pPr>
        <w:pStyle w:val="Heading2"/>
      </w:pPr>
      <w:r>
        <w:t xml:space="preserve">5. Outcomes and Impact</w:t>
      </w:r>
    </w:p>
    <w:p>
      <w:pPr>
        <w:pStyle w:val="FirstParagraph"/>
      </w:pPr>
      <w:r>
        <w:t xml:space="preserve">The results of the rebranding effort were significant within the first quarter of deployment. Key metrics included:</w:t>
      </w:r>
    </w:p>
    <w:p>
      <w:pPr>
        <w:numPr>
          <w:ilvl w:val="0"/>
          <w:numId w:val="1002"/>
        </w:numPr>
        <w:pStyle w:val="Compact"/>
      </w:pPr>
      <w:r>
        <w:rPr>
          <w:bCs/>
          <w:b/>
        </w:rPr>
        <w:t xml:space="preserve">User Engagement:</w:t>
      </w:r>
      <w:r>
        <w:t xml:space="preserve"> </w:t>
      </w:r>
      <w:r>
        <w:t xml:space="preserve">A 35% increase in user interaction with onboarding materials, attributed to clearer visual hierarchy and intuitive iconography.</w:t>
      </w:r>
    </w:p>
    <w:p>
      <w:pPr>
        <w:numPr>
          <w:ilvl w:val="0"/>
          <w:numId w:val="1002"/>
        </w:numPr>
        <w:pStyle w:val="Compact"/>
      </w:pPr>
      <w:r>
        <w:rPr>
          <w:bCs/>
          <w:b/>
        </w:rPr>
        <w:t xml:space="preserve">Investor Perception:</w:t>
      </w:r>
      <w:r>
        <w:t xml:space="preserve"> </w:t>
      </w:r>
      <w:r>
        <w:t xml:space="preserve">Positive feedback from international venture capital firms during the subsequent funding round, specifically noting the brand's "sophisticated yet approachable" aesthetic.</w:t>
      </w:r>
    </w:p>
    <w:p>
      <w:pPr>
        <w:numPr>
          <w:ilvl w:val="0"/>
          <w:numId w:val="1002"/>
        </w:numPr>
        <w:pStyle w:val="Compact"/>
      </w:pPr>
      <w:r>
        <w:rPr>
          <w:bCs/>
          <w:b/>
        </w:rPr>
        <w:t xml:space="preserve">Brand Consistency:</w:t>
      </w:r>
      <w:r>
        <w:t xml:space="preserve"> </w:t>
      </w:r>
      <w:r>
        <w:t xml:space="preserve">The establishment of a comprehensive design system that reduced internal communication overhead and allowed other team members to create marketing collateral with minimal designer intervention.</w:t>
      </w:r>
    </w:p>
    <w:bookmarkStart w:id="27" w:name="critical-success-factor"/>
    <w:p>
      <w:pPr>
        <w:pStyle w:val="Heading3"/>
      </w:pPr>
      <w:r>
        <w:t xml:space="preserve">Critical Success Factor</w:t>
      </w:r>
    </w:p>
    <w:p>
      <w:pPr>
        <w:pStyle w:val="FirstParagraph"/>
      </w:pPr>
      <w:r>
        <w:t xml:space="preserve">The success of this project in Israel Tel Aviv was largely due to the Graphic Designer’s ability to act as a cultural translator. By understanding that "global" does not mean "generic," but rather "universally accessible," the designer preserved local identity while expanding global appeal.</w:t>
      </w:r>
    </w:p>
    <w:bookmarkEnd w:id="27"/>
    <w:bookmarkEnd w:id="28"/>
    <w:bookmarkStart w:id="29" w:name="challenges-specific-to-israel-tel-aviv"/>
    <w:p>
      <w:pPr>
        <w:pStyle w:val="Heading2"/>
      </w:pPr>
      <w:r>
        <w:t xml:space="preserve">6. Challenges Specific to Israel Tel Aviv</w:t>
      </w:r>
    </w:p>
    <w:p>
      <w:pPr>
        <w:pStyle w:val="FirstParagraph"/>
      </w:pPr>
      <w:r>
        <w:t xml:space="preserve">This case study also highlights broader challenges faced by Graphic Designers in the region:</w:t>
      </w:r>
    </w:p>
    <w:p>
      <w:pPr>
        <w:pStyle w:val="BodyText"/>
      </w:pPr>
      <w:r>
        <w:rPr>
          <w:bCs/>
          <w:b/>
        </w:rPr>
        <w:t xml:space="preserve">Avoiding Burnout:</w:t>
      </w:r>
      <w:r>
        <w:t xml:space="preserve">The startup culture in Israel Tel Aviv is notorious for its long hours and high pressure. Graphic Designers often find themselves wearing multiple hats, from creative director to project manager. Sustainable workflow management is essential to maintain creativity over the long term.</w:t>
      </w:r>
    </w:p>
    <w:p>
      <w:pPr>
        <w:pStyle w:val="BodyText"/>
      </w:pPr>
      <w:r>
        <w:rPr>
          <w:bCs/>
          <w:b/>
        </w:rPr>
        <w:t xml:space="preserve">Talent Competition:</w:t>
      </w:r>
      <w:r>
        <w:t xml:space="preserve"> </w:t>
      </w:r>
      <w:r>
        <w:t xml:space="preserve">With a thriving tech scene, there is intense competition for top-tier design talent. Graphic Designers in Tel Aviv must continuously upskill in areas such as AI-assisted design tools, 3D modeling, and data visualization to remain relevant and competitive.</w:t>
      </w:r>
    </w:p>
    <w:bookmarkEnd w:id="29"/>
    <w:bookmarkStart w:id="30" w:name="conclusion"/>
    <w:p>
      <w:pPr>
        <w:pStyle w:val="Heading2"/>
      </w:pPr>
      <w:r>
        <w:t xml:space="preserve">7. Conclusion</w:t>
      </w:r>
    </w:p>
    <w:p>
      <w:pPr>
        <w:pStyle w:val="FirstParagraph"/>
      </w:pPr>
      <w:r>
        <w:t xml:space="preserve">This case study demonstrates that being a Graphic Designer in Israel Tel Aviv is a multifaceted role requiring more than just artistic talent. It demands strategic thinking, cultural sensitivity, and technical versatility. The interplay between the local context of Tel Aviv and the global aspirations of its tech sector creates a unique laboratory for design innovation.</w:t>
      </w:r>
    </w:p>
    <w:p>
      <w:pPr>
        <w:pStyle w:val="BodyText"/>
      </w:pPr>
      <w:r>
        <w:t xml:space="preserve">For organizations operating in this region, investing in high-quality Graphic Design is not merely an aesthetic choice but a business imperative that influences user trust, market penetration, and brand longevity. As the landscape of Israel Tel Aviv continues to evolve, so too must the methodologies of its Graphic Designers, ensuring they remain at the forefront of digital and visual communication trends.</w:t>
      </w:r>
    </w:p>
    <w:p>
      <w:pPr>
        <w:pStyle w:val="BodyText"/>
      </w:pPr>
      <w:r>
        <w:t xml:space="preserve">The future for Graphic Design in this vibrant hub looks promising, driven by a commitment to excellence and a deep understanding of both local roots and global connections. As shown in the FinTech example, when these elements are harmonized effectively, the result is not just beautiful design, but measurable business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 Excellence in Israel Tel Aviv</dc:title>
  <dc:creator/>
  <dc:language>en</dc:language>
  <cp:keywords/>
  <dcterms:created xsi:type="dcterms:W3CDTF">2026-07-29T07:39:47Z</dcterms:created>
  <dcterms:modified xsi:type="dcterms:W3CDTF">2026-07-29T07:39:47Z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