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0" w:name="Xa9c896438002c454375d2a74c9abed8782965a0"/>
    <w:p>
      <w:pPr>
        <w:pStyle w:val="Heading1"/>
      </w:pPr>
      <w:r>
        <w:t xml:space="preserve">Strategic Human Resources Management in Indonesia Jakarta: Navigating Cultural and Regulatory Complexities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&gt;Completed Case Study</w:t>
      </w:r>
      <w:r>
        <w:br/>
      </w:r>
    </w:p>
    <w:p>
      <w:pPr>
        <w:pStyle w:val="SourceCode"/>
      </w:pP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Human Resources Manager in Indonesia Jakarta</dc:title>
  <dc:creator/>
  <dc:language>en</dc:language>
  <cp:keywords/>
  <dcterms:created xsi:type="dcterms:W3CDTF">2026-07-29T20:09:53Z</dcterms:created>
  <dcterms:modified xsi:type="dcterms:W3CDTF">2026-07-29T20:09:53Z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