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20" w:name="Xa9c896438002c454375d2a74c9abed8782965a0"/>
    <w:p>
      <w:pPr>
        <w:pStyle w:val="Heading1"/>
      </w:pPr>
      <w:r>
        <w:t xml:space="preserve">Strategic Human Resources Management in Indonesia Jakarta: Navigating Cultural and Regulatory Complexities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Status:</w:t>
      </w:r>
    </w:p>
    <w:p>
      <w:pPr>
        <w:pStyle w:val="BodyText"/>
      </w:pPr>
      <w:r>
        <w:t xml:space="preserve">&gt;Completed Case Study</w:t>
      </w:r>
      <w:r>
        <w:br/>
      </w:r>
    </w:p>
    <w:p>
      <w:pPr>
        <w:pStyle w:val="SourceCode"/>
      </w:pP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Human Resources Manager in Indonesia Jakarta</dc:title>
  <dc:creator/>
  <dc:language>en</dc:language>
  <cp:keywords/>
  <dcterms:created xsi:type="dcterms:W3CDTF">2026-09-25T14:30:25Z</dcterms:created>
  <dcterms:modified xsi:type="dcterms:W3CDTF">2026-09-25T14:30:25Z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