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99e630190cecffd42715bc5529651854c8a2c37"/>
    <w:p>
      <w:pPr>
        <w:pStyle w:val="Heading1"/>
      </w:pPr>
      <w:r>
        <w:t xml:space="preserve">Navigating Complexity: A Human Resources Manager’s Journey in Malaysia Kuala Lumpur</w:t>
      </w:r>
    </w:p>
    <w:p>
      <w:pPr>
        <w:pStyle w:val="FirstParagraph"/>
      </w:pPr>
      <w:r>
        <w:t xml:space="preserve">In the rapidly evolving economic landscape of Southeast Asia, few cities serve as a more potent symbol of growth and cultural confluence than Malaysia Kuala Lumpur. For corporate entities operating within this vibrant metropolis, the role of the</w:t>
      </w:r>
      <w:r>
        <w:t xml:space="preserve"> </w:t>
      </w:r>
      <w:r>
        <w:rPr>
          <w:bCs/>
          <w:b/>
        </w:rPr>
        <w:t xml:space="preserve">Human Resources Manager</w:t>
      </w:r>
      <w:r>
        <w:t xml:space="preserve"> </w:t>
      </w:r>
      <w:r>
        <w:t xml:space="preserve">transcends traditional administrative duties. It has evolved into a strategic imperative that requires navigating complex legal frameworks, diverse cultural expectations, and fierce competition for top talent. This case study examines the challenges and strategies employed by a hypothetical multinational technology firm operating in this dynamic region.</w:t>
      </w:r>
    </w:p>
    <w:bookmarkStart w:id="20" w:name="X058aca63558421f4dfe3aab9466f42eda4997f2"/>
    <w:p>
      <w:pPr>
        <w:pStyle w:val="Heading2"/>
      </w:pPr>
      <w:r>
        <w:t xml:space="preserve">The Context: Malaysia Kuala Lumpur as a Talent Hub</w:t>
      </w:r>
    </w:p>
    <w:p>
      <w:pPr>
        <w:pStyle w:val="FirstParagraph"/>
      </w:pPr>
      <w:r>
        <w:rPr>
          <w:bCs/>
          <w:b/>
        </w:rPr>
        <w:t xml:space="preserve">Malaysia Kuala Lumpur</w:t>
      </w:r>
      <w:r>
        <w:t xml:space="preserve"> </w:t>
      </w:r>
      <w:r>
        <w:t xml:space="preserve">stands as one of the most attractive destinations for foreign direct investment in the ASEAN region. The city offers a robust infrastructure, favorable tax incentives, and a young, English-speaking workforce. However, this attractiveness also breeds intense competition. Multinational corporations (MNCs) and local tech giants alike are vying for the same pool of skilled professionals in software engineering, data analytics, and digital marketing.</w:t>
      </w:r>
    </w:p>
    <w:p>
      <w:pPr>
        <w:pStyle w:val="BodyText"/>
      </w:pPr>
      <w:r>
        <w:t xml:space="preserve">For the Human Resources function, this environment presents a dual challenge: attracting high-caliber candidates while maintaining high employee retention rates. The cost of living in</w:t>
      </w:r>
      <w:r>
        <w:t xml:space="preserve"> </w:t>
      </w:r>
      <w:r>
        <w:rPr>
          <w:bCs/>
          <w:b/>
        </w:rPr>
        <w:t xml:space="preserve">Malaysia Kuala Lumpur</w:t>
      </w:r>
      <w:r>
        <w:t xml:space="preserve">, particularly regarding housing and transportation within the city center, has risen significantly. Consequently, compensation packages must be competitive not just locally, but against regional hubs like Singapore and Bangkok.</w:t>
      </w:r>
    </w:p>
    <w:bookmarkEnd w:id="20"/>
    <w:bookmarkStart w:id="22" w:name="Xaf04a1d8cd4a86b5d196c79e79e8fa88f1678c8"/>
    <w:p>
      <w:pPr>
        <w:pStyle w:val="Heading2"/>
      </w:pPr>
      <w:r>
        <w:t xml:space="preserve">The Challenge: Cultural Integration and Compliance</w:t>
      </w:r>
    </w:p>
    <w:p>
      <w:pPr>
        <w:pStyle w:val="FirstParagraph"/>
      </w:pPr>
      <w:r>
        <w:t xml:space="preserve">The primary case scenario involves "TechNova Solutions," a mid-sized tech firm that recently expanded its operations into</w:t>
      </w:r>
      <w:r>
        <w:t xml:space="preserve"> </w:t>
      </w:r>
      <w:r>
        <w:rPr>
          <w:bCs/>
          <w:b/>
        </w:rPr>
        <w:t xml:space="preserve">Malaysia Kuala Lumpur</w:t>
      </w:r>
      <w:r>
        <w:t xml:space="preserve">. The newly appointed Human Resources Manager faced three immediate, interconnected challenges:</w:t>
      </w:r>
    </w:p>
    <w:p>
      <w:pPr>
        <w:numPr>
          <w:ilvl w:val="0"/>
          <w:numId w:val="1001"/>
        </w:numPr>
        <w:pStyle w:val="Compact"/>
      </w:pPr>
      <w:r>
        <w:rPr>
          <w:bCs/>
          <w:b/>
        </w:rPr>
        <w:t xml:space="preserve">Cultural Diversity and Harmony:</w:t>
      </w:r>
      <w:r>
        <w:t xml:space="preserve"> </w:t>
      </w:r>
      <w:r>
        <w:t xml:space="preserve">The Malaysian workforce is multicultural, comprising significant Malay, Chinese, Indian, and indigenous Bumiputera populations. Each group has distinct cultural norms regarding work ethic communication styles. For instance, indirect communication is often valued in high-context cultures within Malaysia to maintain social harmony. A Human Resources Manager must be adept at interpreting these nuances to prevent misunderstandings.</w:t>
      </w:r>
    </w:p>
    <w:p>
      <w:pPr>
        <w:numPr>
          <w:ilvl w:val="0"/>
          <w:numId w:val="1001"/>
        </w:numPr>
        <w:pStyle w:val="Compact"/>
      </w:pPr>
      <w:r>
        <w:rPr>
          <w:bCs/>
          <w:b/>
        </w:rPr>
        <w:t xml:space="preserve">Legal Compliance:</w:t>
      </w:r>
      <w:r>
        <w:t xml:space="preserve"> </w:t>
      </w:r>
      <w:r>
        <w:t xml:space="preserve">Navigating the Employment Act 1955 and recent amendments regarding working hours, overtime, and maternity benefits is mandatory. Furthermore, understanding the specific quota systems for Bumiputera employment in certain sectors adds a layer of complexity that foreign-trained managers often find challenging to interpret correctly.</w:t>
      </w:r>
    </w:p>
    <w:p>
      <w:pPr>
        <w:numPr>
          <w:ilvl w:val="0"/>
          <w:numId w:val="1001"/>
        </w:numPr>
        <w:pStyle w:val="Compact"/>
      </w:pPr>
      <w:r>
        <w:rPr>
          <w:bCs/>
          <w:b/>
        </w:rPr>
        <w:t xml:space="preserve">Bridging the Local-Expat Gap:</w:t>
      </w:r>
      <w:r>
        <w:t xml:space="preserve"> </w:t>
      </w:r>
      <w:r>
        <w:t xml:space="preserve">TechNova hired many expatriates for senior technical roles while recruiting local talent for mid-level positions. A cultural and operational disconnect emerged, leading to friction between teams who felt undervalued or misunderstood by management.</w:t>
      </w:r>
    </w:p>
    <w:bookmarkStart w:id="21" w:name="the-core-insight"/>
    <w:p>
      <w:pPr>
        <w:pStyle w:val="Heading3"/>
      </w:pPr>
      <w:r>
        <w:t xml:space="preserve">The Core Insight</w:t>
      </w:r>
    </w:p>
    <w:p>
      <w:pPr>
        <w:pStyle w:val="FirstParagraph"/>
      </w:pPr>
      <w:r>
        <w:t xml:space="preserve">In the context of a Human Resources Manager in Malaysia, technical knowledge is secondary to cultural intelligence and regulatory mastery. The ability to translate corporate global policies into local realities is the defining factor of success.</w:t>
      </w:r>
    </w:p>
    <w:bookmarkEnd w:id="21"/>
    <w:bookmarkEnd w:id="22"/>
    <w:bookmarkStart w:id="26" w:name="the-strategic-response"/>
    <w:p>
      <w:pPr>
        <w:pStyle w:val="Heading2"/>
      </w:pPr>
      <w:r>
        <w:t xml:space="preserve">The Strategic Response</w:t>
      </w:r>
    </w:p>
    <w:p>
      <w:pPr>
        <w:pStyle w:val="FirstParagraph"/>
      </w:pPr>
      <w:r>
        <w:t xml:space="preserve">To address these issues, the Human Resources Manager implemented a multi-faceted strategy tailored specifically to the Malaysian context:</w:t>
      </w:r>
    </w:p>
    <w:bookmarkStart w:id="23" w:name="localization-of-benefits-and-policies"/>
    <w:p>
      <w:pPr>
        <w:pStyle w:val="Heading3"/>
      </w:pPr>
      <w:r>
        <w:t xml:space="preserve">1. Localization of Benefits and Policies</w:t>
      </w:r>
    </w:p>
    <w:p>
      <w:pPr>
        <w:pStyle w:val="FirstParagraph"/>
      </w:pPr>
      <w:r>
        <w:t xml:space="preserve">Rather than imposing a rigid global benefits package, the HR team adapted offerings to suit local preferences. This included enhancing contributions to the Employees Provident Fund (EPF), which is crucial for long-term savings in Malaysia, rather than focusing solely on short-term bonuses. Additionally, flexible prayer times and holiday allowances for Hari Raya Aidilfitri, Chinese New Year, and Deepavali were formalized in the employee handbook. This demonstrated respect for religious diversity a key aspect of working in</w:t>
      </w:r>
      <w:r>
        <w:t xml:space="preserve"> </w:t>
      </w:r>
      <w:r>
        <w:rPr>
          <w:bCs/>
          <w:b/>
        </w:rPr>
        <w:t xml:space="preserve">Malaysia Kuala Lumpur</w:t>
      </w:r>
      <w:r>
        <w:t xml:space="preserve">.</w:t>
      </w:r>
    </w:p>
    <w:bookmarkEnd w:id="23"/>
    <w:bookmarkStart w:id="24" w:name="enhanced-communication-channels"/>
    <w:p>
      <w:pPr>
        <w:pStyle w:val="Heading3"/>
      </w:pPr>
      <w:r>
        <w:t xml:space="preserve">2. Enhanced Communication Channels</w:t>
      </w:r>
    </w:p>
    <w:p>
      <w:pPr>
        <w:pStyle w:val="FirstParagraph"/>
      </w:pPr>
      <w:r>
        <w:t xml:space="preserve">To bridge the gap between expatriate leadership and local staff, the Human Resources Manager introduced "Cultural Liaison Officers." These were senior local employees tasked with facilitating communication and interpreting corporate directives in a culturally appropriate manner. Regular town hall meetings were held not just for updates, but for open dialogue, allowing employees to voice concerns in a safe environment. This approach significantly reduced turnover rates within six months.</w:t>
      </w:r>
    </w:p>
    <w:bookmarkEnd w:id="24"/>
    <w:bookmarkStart w:id="25" w:name="training-and-development"/>
    <w:p>
      <w:pPr>
        <w:pStyle w:val="Heading3"/>
      </w:pPr>
      <w:r>
        <w:t xml:space="preserve">3. Training and Development</w:t>
      </w:r>
    </w:p>
    <w:p>
      <w:pPr>
        <w:pStyle w:val="FirstParagraph"/>
      </w:pPr>
      <w:r>
        <w:t xml:space="preserve">The HR department launched a mandatory cross-cultural training program for all expatriates coming to work in the office. The curriculum focused on local customs, business etiquette, and the legal rights of employees under Malaysian law. Conversely, local staff were offered leadership development programs to prepare them for global roles within TechNova. This investment in human capital signaled a long-term commitment to the</w:t>
      </w:r>
      <w:r>
        <w:t xml:space="preserve"> </w:t>
      </w:r>
      <w:r>
        <w:rPr>
          <w:bCs/>
          <w:b/>
        </w:rPr>
        <w:t xml:space="preserve">Malaysia Kuala Lumpur</w:t>
      </w:r>
      <w:r>
        <w:t xml:space="preserve"> </w:t>
      </w:r>
      <w:r>
        <w:t xml:space="preserve">market.</w:t>
      </w:r>
    </w:p>
    <w:bookmarkEnd w:id="25"/>
    <w:bookmarkEnd w:id="26"/>
    <w:bookmarkStart w:id="27" w:name="outcomes-and-impact"/>
    <w:p>
      <w:pPr>
        <w:pStyle w:val="Heading2"/>
      </w:pPr>
      <w:r>
        <w:t xml:space="preserve">Outcomes and Impact</w:t>
      </w:r>
    </w:p>
    <w:p>
      <w:pPr>
        <w:pStyle w:val="FirstParagraph"/>
      </w:pPr>
      <w:r>
        <w:t xml:space="preserve">The results of these interventions were profound. Within one year, employee engagement scores increased by 35%. The turnover rate for local talent dropped from 18% to 9%, significantly lower than the industry average in</w:t>
      </w:r>
      <w:r>
        <w:t xml:space="preserve"> </w:t>
      </w:r>
      <w:r>
        <w:rPr>
          <w:bCs/>
          <w:b/>
        </w:rPr>
        <w:t xml:space="preserve">Malaysia Kuala Lumpur</w:t>
      </w:r>
      <w:r>
        <w:t xml:space="preserve">. Furthermore, the HR department successfully audited all employment contracts to ensure full compliance with local labor laws, avoiding any potential legal penalties.</w:t>
      </w:r>
    </w:p>
    <w:p>
      <w:pPr>
        <w:pStyle w:val="BodyText"/>
      </w:pPr>
      <w:r>
        <w:t xml:space="preserve">The success of this case study highlights that being a Human Resources Manager in Malaysia is not merely about processing payroll or handling recruitment. It requires a deep understanding of the socio-political fabric of the country. The HR professional must act as a cultural translator, ensuring that global business goals are achieved through local respect and compliance.</w:t>
      </w:r>
    </w:p>
    <w:bookmarkEnd w:id="27"/>
    <w:bookmarkStart w:id="28" w:name="conclusion"/>
    <w:p>
      <w:pPr>
        <w:pStyle w:val="Heading2"/>
      </w:pPr>
      <w:r>
        <w:t xml:space="preserve">Conclusion</w:t>
      </w:r>
    </w:p>
    <w:p>
      <w:pPr>
        <w:pStyle w:val="FirstParagraph"/>
      </w:pPr>
      <w:r>
        <w:t xml:space="preserve">The case of TechNova Solutions illustrates that for any organization operating in</w:t>
      </w:r>
      <w:r>
        <w:t xml:space="preserve"> </w:t>
      </w:r>
      <w:r>
        <w:rPr>
          <w:bCs/>
          <w:b/>
        </w:rPr>
        <w:t xml:space="preserve">Malaysia Kuala Lumpur</w:t>
      </w:r>
      <w:r>
        <w:t xml:space="preserve">, the Human Resources Manager is the keystone of stability and growth. The unique combination of multicultural demographics, evolving labor laws, and competitive market dynamics demands a strategic approach to talent management.</w:t>
      </w:r>
    </w:p>
    <w:p>
      <w:pPr>
        <w:pStyle w:val="BodyText"/>
      </w:pPr>
      <w:r>
        <w:t xml:space="preserve">Organizations that fail to recognize the specific nuances of this region risk high attrition and legal complications. However, those who empower their Human Resources teams with the autonomy and cultural intelligence to adapt global strategies locally will reap significant rewards in productivity, innovation, and employer branding. In conclusion, mastering HR in</w:t>
      </w:r>
      <w:r>
        <w:t xml:space="preserve"> </w:t>
      </w:r>
      <w:r>
        <w:rPr>
          <w:bCs/>
          <w:b/>
        </w:rPr>
        <w:t xml:space="preserve">Malaysia Kuala Lumpur</w:t>
      </w:r>
      <w:r>
        <w:t xml:space="preserve"> </w:t>
      </w:r>
      <w:r>
        <w:t xml:space="preserve">is a critical competency for sustainable business success in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Malaysia Kuala Lumpur</dc:title>
  <dc:creator/>
  <dc:language>en</dc:language>
  <cp:keywords/>
  <dcterms:created xsi:type="dcterms:W3CDTF">2026-07-29T05:01:42Z</dcterms:created>
  <dcterms:modified xsi:type="dcterms:W3CDTF">2026-07-29T05:01:42Z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