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Industrial</w:t>
      </w:r>
      <w:r>
        <w:t xml:space="preserve"> </w:t>
      </w:r>
      <w:r>
        <w:t xml:space="preserve">Engineering</w:t>
      </w:r>
      <w:r>
        <w:t xml:space="preserve"> </w:t>
      </w:r>
      <w:r>
        <w:t xml:space="preserve">Excellence</w:t>
      </w:r>
      <w:r>
        <w:t xml:space="preserve"> </w:t>
      </w:r>
      <w:r>
        <w:t xml:space="preserve">in</w:t>
      </w:r>
      <w:r>
        <w:t xml:space="preserve"> </w:t>
      </w:r>
      <w:r>
        <w:t xml:space="preserve">Russia,</w:t>
      </w:r>
      <w:r>
        <w:t xml:space="preserve"> </w:t>
      </w:r>
      <w:r>
        <w:t xml:space="preserve">Saint</w:t>
      </w:r>
      <w:r>
        <w:t xml:space="preserve"> </w:t>
      </w:r>
      <w:r>
        <w:t xml:space="preserve">Petersburg</w:t>
      </w:r>
    </w:p>
    <w:bookmarkStart w:id="23" w:name="X8c165c7a57ba43bec4cc51086d60777a2b8e386"/>
    <w:p>
      <w:pPr>
        <w:pStyle w:val="Heading1"/>
      </w:pPr>
      <w:r>
        <w:t xml:space="preserve">Bridging Tradition and Innovation: A Case Study of an Industrial Engineer in Russia, Saint Petersburg</w:t>
      </w:r>
    </w:p>
    <w:p>
      <w:pPr>
        <w:pStyle w:val="FirstParagraph"/>
      </w:pPr>
      <w:r>
        <w:rPr>
          <w:bCs/>
          <w:b/>
        </w:rPr>
        <w:t xml:space="preserve">Date:</w:t>
      </w:r>
      <w:r>
        <w:t xml:space="preserve"> </w:t>
      </w:r>
      <w:r>
        <w:t xml:space="preserve">October 2023</w:t>
      </w:r>
      <w:r>
        <w:br/>
      </w:r>
      <w:r>
        <w:rPr>
          <w:bCs/>
          <w:b/>
        </w:rPr>
        <w:t xml:space="preserve">Subject:</w:t>
      </w:r>
      <w:r>
        <w:t xml:space="preserve"> </w:t>
      </w:r>
      <w:r>
        <w:rPr>
          <w:bCs/>
          <w:b/>
        </w:rPr>
        <w:t xml:space="preserve">Location Focus:</w:t>
      </w:r>
      <w:r>
        <w:t xml:space="preserve"> </w:t>
      </w:r>
      <w:r>
        <w:t xml:space="preserve">Russia, Saint Petersburg</w:t>
      </w:r>
    </w:p>
    <w:bookmarkStart w:id="20" w:name="i.-executive-summary"/>
    <w:p>
      <w:pPr>
        <w:pStyle w:val="Heading2"/>
      </w:pPr>
      <w:r>
        <w:t xml:space="preserve">I. Executive Summary</w:t>
      </w:r>
    </w:p>
    <w:p>
      <w:pPr>
        <w:pStyle w:val="FirstParagraph"/>
      </w:pPr>
      <w:r>
        <w:t xml:space="preserve">The role of the</w:t>
      </w:r>
    </w:p>
    <w:p>
      <w:pPr>
        <w:pStyle w:val="BodyText"/>
      </w:pPr>
      <w:r>
        <w:t xml:space="preserve">II. Organizational Background</w:t>
      </w:r>
    </w:p>
    <w:p>
      <w:pPr>
        <w:pStyle w:val="BodyText"/>
      </w:pPr>
      <w:r>
        <w:t xml:space="preserve">The subject company is a specialized automotive component manufacturer based in an industrial park on the outskirts of Russia, Saint Petersburg. With approximately 400 employees, the company supplies parts to major European and domestic automakers. Historically, the firm relied on legacy systems for production planning and maintenance. The facility is strategically located near key transit hubs connecting Scandinavia with central Asia, making logistics a critical factor in their competitive advantage.</w:t>
      </w:r>
      <w:r>
        <w:t xml:space="preserve"> </w:t>
      </w:r>
      <w:r>
        <w:t xml:space="preserve">However, recent years have presented significant hurdles for businesses in Russia, Saint Petersburg. These include sanctions-related supply chain disruptions, fluctuations in raw material costs due to currency volatility, and an increasing demand for higher precision and faster turnaround times from clients. The management recognized that traditional managerial approaches were no longer sufficient to maintain profitability and market share. Consequently, they initiated a transformation project led by a newly hired senior</w:t>
      </w:r>
    </w:p>
    <w:p>
      <w:pPr>
        <w:pStyle w:val="BodyText"/>
      </w:pPr>
      <w:r>
        <w:t xml:space="preserve">III. Problem Statement</w:t>
      </w:r>
    </w:p>
    <w:p>
      <w:pPr>
        <w:pStyle w:val="BodyText"/>
      </w:pPr>
      <w:r>
        <w:t xml:space="preserve">The core problems identified by the</w:t>
      </w:r>
      <w:r>
        <w:t xml:space="preserve"> </w:t>
      </w:r>
    </w:p>
    <w:p>
      <w:pPr>
        <w:pStyle w:val="BodyText"/>
      </w:pPr>
      <w:r>
        <w:rPr>
          <w:bCs/>
          <w:b/>
        </w:rPr>
        <w:t xml:space="preserve">Inefficient Production Flow:</w:t>
      </w:r>
      <w:r>
        <w:t xml:space="preserve">Bottlenecks existed in the final assembly stage due to poor workstation layout and inadequate buffer stock management. Lead times were 20% longer than industry benchmarks.</w:t>
      </w:r>
    </w:p>
    <w:p>
      <w:pPr>
        <w:pStyle w:val="BodyText"/>
      </w:pPr>
      <w:r>
        <w:rPr>
          <w:bCs/>
          <w:b/>
        </w:rPr>
        <w:t xml:space="preserve">Supply Chain Fragility:</w:t>
      </w:r>
      <w:r>
        <w:t xml:space="preserve">Relying on imported components exposed the company to long lead times and customs delays, particularly challenging given the current geopolitical landscape affecting trade routes into Russia, Saint Petersburg.</w:t>
      </w:r>
    </w:p>
    <w:p>
      <w:pPr>
        <w:pStyle w:val="BodyText"/>
      </w:pPr>
      <w:r>
        <w:rPr>
          <w:bCs/>
          <w:b/>
        </w:rPr>
        <w:t xml:space="preserve">Data Silos:</w:t>
      </w:r>
      <w:r>
        <w:t xml:space="preserve">The absence of integrated Enterprise Resource Planning (ERP) data meant that decision-making was reactive rather than proactive. The</w:t>
      </w:r>
      <w:r>
        <w:t xml:space="preserve"> </w:t>
      </w:r>
    </w:p>
    <w:p>
      <w:pPr>
        <w:pStyle w:val="BodyText"/>
      </w:pPr>
      <w:r>
        <w:rPr>
          <w:bCs/>
          <w:b/>
        </w:rPr>
        <w:t xml:space="preserve">Labor Productivity Gaps:</w:t>
      </w:r>
      <w:r>
        <w:t xml:space="preserve">Maintenance schedules were based on fixed intervals rather than condition monitoring, leading to unplanned downtime that disrupted production lines.</w:t>
      </w:r>
    </w:p>
    <w:bookmarkEnd w:id="20"/>
    <w:bookmarkStart w:id="21" w:name="iv.-methodology-and-implementation"/>
    <w:p>
      <w:pPr>
        <w:pStyle w:val="Heading2"/>
      </w:pPr>
      <w:r>
        <w:t xml:space="preserve">IV. Methodology and Implementation</w:t>
      </w:r>
    </w:p>
    <w:p>
      <w:pPr>
        <w:pStyle w:val="FirstParagraph"/>
      </w:pPr>
      <w:r>
        <w:t xml:space="preserve">To address these challenges, the</w:t>
      </w:r>
    </w:p>
    <w:p>
      <w:pPr>
        <w:pStyle w:val="BodyText"/>
      </w:pPr>
      <w:r>
        <w:t xml:space="preserve">A. Process Optimization via Value Stream Mapping (VSM)</w:t>
      </w:r>
      <w:r>
        <w:t xml:space="preserve"> </w:t>
      </w:r>
      <w:r>
        <w:t xml:space="preserve">The first phase involved creating current-state and future-state Value Stream Maps. The</w:t>
      </w:r>
    </w:p>
    <w:p>
      <w:pPr>
        <w:pStyle w:val="BodyText"/>
      </w:pPr>
      <w:r>
        <w:t xml:space="preserve">B. Supply Chain Resilience Strategy</w:t>
      </w:r>
      <w:r>
        <w:t xml:space="preserve"> </w:t>
      </w:r>
      <w:r>
        <w:t xml:space="preserve">Recognizing the volatility inherent in operating within Russia, Saint Petersburg during this period, the</w:t>
      </w:r>
    </w:p>
    <w:p>
      <w:pPr>
        <w:pStyle w:val="BodyText"/>
      </w:pPr>
      <w:r>
        <w:t xml:space="preserve">C. Digital Transformation</w:t>
      </w:r>
      <w:r>
        <w:t xml:space="preserve"> </w:t>
      </w:r>
      <w:r>
        <w:t xml:space="preserve">A significant portion of the role involved introducing IoT sensors for predictive maintenance on critical CNC machines. The</w:t>
      </w:r>
    </w:p>
    <w:p>
      <w:pPr>
        <w:pStyle w:val="BodyText"/>
      </w:pPr>
      <w:r>
        <w:t xml:space="preserve">D. Human Capital Development</w:t>
      </w:r>
      <w:r>
        <w:t xml:space="preserve"> </w:t>
      </w:r>
      <w:r>
        <w:t xml:space="preserve">Technological upgrades require skilled operators. The</w:t>
      </w:r>
    </w:p>
    <w:p>
      <w:pPr>
        <w:pStyle w:val="BodyText"/>
      </w:pPr>
      <w:r>
        <w:t xml:space="preserve">V. Results and Impact</w:t>
      </w:r>
    </w:p>
    <w:p>
      <w:pPr>
        <w:pStyle w:val="BodyText"/>
      </w:pPr>
      <w:r>
        <w:t xml:space="preserve">Within twelve months of implementation, the company achieved remarkable results:</w:t>
      </w:r>
    </w:p>
    <w:p>
      <w:pPr>
        <w:numPr>
          <w:ilvl w:val="0"/>
          <w:numId w:val="1001"/>
        </w:numPr>
        <w:pStyle w:val="Compact"/>
      </w:pPr>
      <w:r>
        <w:rPr>
          <w:bCs/>
          <w:b/>
        </w:rPr>
        <w:t xml:space="preserve">Cost Reduction:</w:t>
      </w:r>
      <w:r>
        <w:t xml:space="preserve">Operational costs decreased by 18%, surpassing the initial 15% target.</w:t>
      </w:r>
    </w:p>
    <w:p>
      <w:pPr>
        <w:numPr>
          <w:ilvl w:val="0"/>
          <w:numId w:val="1001"/>
        </w:numPr>
        <w:pStyle w:val="Compact"/>
      </w:pPr>
      <w:r>
        <w:rPr>
          <w:bCs/>
          <w:b/>
        </w:rPr>
        <w:t xml:space="preserve">Delivery Performance:</w:t>
      </w:r>
    </w:p>
    <w:p>
      <w:pPr>
        <w:numPr>
          <w:ilvl w:val="0"/>
          <w:numId w:val="1001"/>
        </w:numPr>
        <w:pStyle w:val="Compact"/>
      </w:pPr>
      <w:r>
        <w:t xml:space="preserve">Cycle Time Reduction:The average production cycle time dropped by 22%, allowing for greater flexibility in handling urgent orders.</w:t>
      </w:r>
    </w:p>
    <w:p>
      <w:pPr>
        <w:pStyle w:val="FirstParagraph"/>
      </w:pPr>
      <w:r>
        <w:t xml:space="preserve">For the</w:t>
      </w:r>
    </w:p>
    <w:p>
      <w:pPr>
        <w:pStyle w:val="BodyText"/>
      </w:pPr>
      <w:r>
        <w:t xml:space="preserve">VI. Challenges and Lessons Learned</w:t>
      </w:r>
    </w:p>
    <w:p>
      <w:pPr>
        <w:pStyle w:val="BodyText"/>
      </w:pPr>
      <w:r>
        <w:t xml:space="preserve">Despite the success, several challenges emerged during the project:</w:t>
      </w:r>
    </w:p>
    <w:p>
      <w:pPr>
        <w:numPr>
          <w:ilvl w:val="0"/>
          <w:numId w:val="1002"/>
        </w:numPr>
        <w:pStyle w:val="Compact"/>
      </w:pPr>
      <w:r>
        <w:rPr>
          <w:bCs/>
          <w:b/>
        </w:rPr>
        <w:t xml:space="preserve">Cultural Resistance:</w:t>
      </w:r>
      <w:r>
        <w:t xml:space="preserve">Initial skepticism from long-term employees regarding new digital tools required patience and strong change management efforts by the</w:t>
      </w:r>
    </w:p>
    <w:p>
      <w:pPr>
        <w:numPr>
          <w:ilvl w:val="0"/>
          <w:numId w:val="1000"/>
        </w:numPr>
        <w:pStyle w:val="Compact"/>
      </w:pPr>
      <w:r>
        <w:t xml:space="preserve">.</w:t>
      </w:r>
    </w:p>
    <w:p>
      <w:pPr>
        <w:numPr>
          <w:ilvl w:val="0"/>
          <w:numId w:val="1002"/>
        </w:numPr>
        <w:pStyle w:val="Compact"/>
      </w:pPr>
      <w:r>
        <w:t xml:space="preserve">Tech Availability:Sourcing specific hardware components for IoT integration was difficult due to import restrictions. The engineer had to pivot quickly to alternative suppliers, demonstrating the importance of agility in Russia, Saint Petersburg.</w:t>
      </w:r>
    </w:p>
    <w:p>
      <w:pPr>
        <w:numPr>
          <w:ilvl w:val="0"/>
          <w:numId w:val="1002"/>
        </w:numPr>
        <w:pStyle w:val="Compact"/>
      </w:pPr>
      <w:r>
        <w:t xml:space="preserve">Data Quality:Legacy systems produced dirty data, necessitating a cleansing phase before analytics could be effective. This highlighted the foundational importance of data governance for any</w:t>
      </w:r>
    </w:p>
    <w:p>
      <w:pPr>
        <w:numPr>
          <w:ilvl w:val="0"/>
          <w:numId w:val="1000"/>
        </w:numPr>
        <w:pStyle w:val="Compact"/>
      </w:pPr>
      <w:r>
        <w:t xml:space="preserve">working with digital transformation.</w:t>
      </w:r>
    </w:p>
    <w:bookmarkEnd w:id="21"/>
    <w:bookmarkStart w:id="22" w:name="vii.-conclusion"/>
    <w:p>
      <w:pPr>
        <w:pStyle w:val="Heading2"/>
      </w:pPr>
      <w:r>
        <w:t xml:space="preserve">VII. Conclusion</w:t>
      </w:r>
    </w:p>
    <w:p>
      <w:pPr>
        <w:pStyle w:val="FirstParagraph"/>
      </w:pPr>
      <w:r>
        <w:t xml:space="preserve">This case study underscores the critical role of the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Industrial Engineering Excellence in Russia, Saint Petersburg</dc:title>
  <dc:creator/>
  <dc:language>en</dc:language>
  <cp:keywords/>
  <dcterms:created xsi:type="dcterms:W3CDTF">2026-07-29T14:01:30Z</dcterms:created>
  <dcterms:modified xsi:type="dcterms:W3CDTF">2026-07-29T14:01:30Z</dcterms:modified>
</cp:coreProperties>
</file>

<file path=docProps/custom.xml><?xml version="1.0" encoding="utf-8"?>
<Properties xmlns="http://schemas.openxmlformats.org/officeDocument/2006/custom-properties" xmlns:vt="http://schemas.openxmlformats.org/officeDocument/2006/docPropsVTypes"/>
</file>