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case-study-report"/>
    <w:p>
      <w:pPr>
        <w:pStyle w:val="Heading1"/>
      </w:pPr>
      <w:r>
        <w:t xml:space="preserve">Case Study Report</w:t>
      </w:r>
    </w:p>
    <w:bookmarkStart w:id="38" w:name="Xf8e1ad4e679a06f5b786f0c1c7688e46087b9e8"/>
    <w:p>
      <w:pPr>
        <w:pStyle w:val="Heading2"/>
      </w:pPr>
      <w:r>
        <w:t xml:space="preserve">Navigating the Digital Frontier for Modern Journalists in Thailand, Bangkok</w:t>
      </w:r>
    </w:p>
    <w:p>
      <w:pPr>
        <w:pStyle w:val="FirstParagraph"/>
      </w:pPr>
      <w:r>
        <w:rPr>
          <w:bCs/>
          <w:b/>
        </w:rPr>
        <w:t xml:space="preserve">Date:</w:t>
      </w:r>
      <w:r>
        <w:t xml:space="preserve"> </w:t>
      </w:r>
      <w:r>
        <w:t xml:space="preserve">May 24, 2024</w:t>
      </w:r>
      <w:r>
        <w:br/>
      </w:r>
      <w:r>
        <w:rPr>
          <w:bCs/>
          <w:b/>
        </w:rPr>
        <w:t xml:space="preserve">Subject:</w:t>
      </w:r>
      <w:r>
        <w:rPr>
          <w:iCs/>
          <w:i/>
        </w:rPr>
        <w:t xml:space="preserve">The Evolution of Journalism: Challenges, Opportunities, and Strategic Adaptations for Journalists in Thailand's Capital</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w:t>
      </w:r>
      <w:r>
        <w:t xml:space="preserve"> </w:t>
      </w:r>
      <w:r>
        <w:rPr>
          <w:bCs/>
          <w:b/>
        </w:rPr>
        <w:t xml:space="preserve">Case Study</w:t>
      </w:r>
      <w:r>
        <w:t xml:space="preserve"> </w:t>
      </w:r>
      <w:r>
        <w:t xml:space="preserve">examines the contemporary landscape of media production, specifically focusing on the role and responsibilities of the</w:t>
      </w:r>
      <w:r>
        <w:t xml:space="preserve"> </w:t>
      </w:r>
      <w:r>
        <w:rPr>
          <w:bCs/>
          <w:b/>
        </w:rPr>
        <w:t xml:space="preserve">Journalist</w:t>
      </w:r>
      <w:r>
        <w:t xml:space="preserve">. The geographical context is strictly defined by</w:t>
      </w:r>
      <w:r>
        <w:t xml:space="preserve"> </w:t>
      </w:r>
      <w:r>
        <w:rPr>
          <w:bCs/>
          <w:b/>
        </w:rPr>
        <w:t xml:space="preserve">Thailand Bangkok</w:t>
      </w:r>
      <w:r>
        <w:t xml:space="preserve">, a city that serves as both a cultural epicenter and a complex regulatory environment for press freedom in Southeast Asia. The objective of this analysis is to understand how local professionals navigate censorship, digital transformation, audience fragmentation, and legal frameworks while maintaining journalistic integrity.</w:t>
      </w:r>
    </w:p>
    <w:p>
      <w:pPr>
        <w:pStyle w:val="BodyText"/>
      </w:pPr>
      <w:r>
        <w:t xml:space="preserve">The findings suggest that the modern</w:t>
      </w:r>
      <w:r>
        <w:t xml:space="preserve"> </w:t>
      </w:r>
      <w:r>
        <w:rPr>
          <w:bCs/>
          <w:b/>
        </w:rPr>
        <w:t xml:space="preserve">Journalist</w:t>
      </w:r>
      <w:r>
        <w:t xml:space="preserve"> </w:t>
      </w:r>
      <w:r>
        <w:t xml:space="preserve">in</w:t>
      </w:r>
      <w:r>
        <w:t xml:space="preserve"> </w:t>
      </w:r>
      <w:r>
        <w:rPr>
          <w:bCs/>
          <w:b/>
        </w:rPr>
        <w:t xml:space="preserve">Thailand Bangkok</w:t>
      </w:r>
      <w:r>
        <w:t xml:space="preserve"> </w:t>
      </w:r>
      <w:r>
        <w:t xml:space="preserve">must possess a hybrid skill set: part traditional reporter, part digital content creator, and part legal strategist. Success in this environment requires not only technical proficiency but also deep cultural awareness and strategic navigation of political sensitivities.</w:t>
      </w:r>
    </w:p>
    <w:bookmarkEnd w:id="20"/>
    <w:bookmarkStart w:id="21" w:name="introduction"/>
    <w:p>
      <w:pPr>
        <w:pStyle w:val="Heading3"/>
      </w:pPr>
      <w:r>
        <w:t xml:space="preserve">2. Introduction</w:t>
      </w:r>
    </w:p>
    <w:p>
      <w:pPr>
        <w:pStyle w:val="FirstParagraph"/>
      </w:pPr>
      <w:r>
        <w:rPr>
          <w:bCs/>
          <w:b/>
        </w:rPr>
        <w:t xml:space="preserve">Thailand Bangkok</w:t>
      </w:r>
      <w:r>
        <w:t xml:space="preserve"> </w:t>
      </w:r>
      <w:r>
        <w:t xml:space="preserve">is a dynamic metropolis characterized by rapid economic growth, vibrant tourism, and a complex political history. For the</w:t>
      </w:r>
      <w:r>
        <w:t xml:space="preserve"> </w:t>
      </w:r>
      <w:r>
        <w:rPr>
          <w:bCs/>
          <w:b/>
        </w:rPr>
        <w:t xml:space="preserve">Journalist</w:t>
      </w:r>
      <w:r>
        <w:t xml:space="preserve">, this city represents both an opportunity for impactful storytelling and a minefield of potential pitfalls. Unlike Western contexts where press freedom is often enshrined in robust legal protections, the environment in</w:t>
      </w:r>
      <w:r>
        <w:t xml:space="preserve"> </w:t>
      </w:r>
      <w:r>
        <w:rPr>
          <w:bCs/>
          <w:b/>
        </w:rPr>
        <w:t xml:space="preserve">Thailand Bangkok</w:t>
      </w:r>
      <w:r>
        <w:t xml:space="preserve"> </w:t>
      </w:r>
      <w:r>
        <w:t xml:space="preserve">operates within a unique framework influenced by national security laws, royal defamation statutes (Section 112), and the Lese Majeste law.</w:t>
      </w:r>
    </w:p>
    <w:p>
      <w:pPr>
        <w:pStyle w:val="BodyText"/>
      </w:pPr>
      <w:r>
        <w:t xml:space="preserve">This</w:t>
      </w:r>
      <w:r>
        <w:t xml:space="preserve"> </w:t>
      </w:r>
      <w:r>
        <w:rPr>
          <w:bCs/>
          <w:b/>
        </w:rPr>
        <w:t xml:space="preserve">Case Study</w:t>
      </w:r>
      <w:r>
        <w:t xml:space="preserve"> </w:t>
      </w:r>
      <w:r>
        <w:t xml:space="preserve">aims to deconstruct these challenges. It explores how independent media outlets, corporate newsrooms, and citizen journalists operate differently yet converge on similar survival strategies. The core thesis is that adaptability and digital literacy are the primary currencies of the modern</w:t>
      </w:r>
      <w:r>
        <w:t xml:space="preserve"> </w:t>
      </w:r>
      <w:r>
        <w:rPr>
          <w:bCs/>
          <w:b/>
        </w:rPr>
        <w:t xml:space="preserve">Journalist</w:t>
      </w:r>
      <w:r>
        <w:t xml:space="preserve"> </w:t>
      </w:r>
      <w:r>
        <w:t xml:space="preserve">in this specific region.</w:t>
      </w:r>
    </w:p>
    <w:bookmarkEnd w:id="21"/>
    <w:bookmarkStart w:id="24" w:name="X8ba284be043b002fe7a25136b4e2aa6e28041e3"/>
    <w:p>
      <w:pPr>
        <w:pStyle w:val="Heading3"/>
      </w:pPr>
      <w:r>
        <w:t xml:space="preserve">3. Contextual Analysis: The Landscape of</w:t>
      </w:r>
      <w:r>
        <w:t xml:space="preserve"> </w:t>
      </w:r>
      <w:r>
        <w:rPr>
          <w:bCs/>
          <w:b/>
        </w:rPr>
        <w:t xml:space="preserve">Thailand Bangkok</w:t>
      </w:r>
    </w:p>
    <w:bookmarkStart w:id="22" w:name="political-and-regulatory-environment"/>
    <w:p>
      <w:pPr>
        <w:pStyle w:val="Heading4"/>
      </w:pPr>
      <w:r>
        <w:t xml:space="preserve">3.1 Political and Regulatory Environment</w:t>
      </w:r>
    </w:p>
    <w:p>
      <w:pPr>
        <w:pStyle w:val="FirstParagraph"/>
      </w:pPr>
      <w:r>
        <w:t xml:space="preserve">The political climate in</w:t>
      </w:r>
      <w:r>
        <w:t xml:space="preserve"> </w:t>
      </w:r>
      <w:r>
        <w:rPr>
          <w:bCs/>
          <w:b/>
        </w:rPr>
        <w:t xml:space="preserve">Thailand Bangkok</w:t>
      </w:r>
    </w:p>
    <w:p>
      <w:pPr>
        <w:pStyle w:val="BodyText"/>
      </w:pPr>
      <w:r>
        <w:t xml:space="preserve">is fluid. Changes in government, military coups, and social movements significantly impact media operations. For the</w:t>
      </w:r>
      <w:r>
        <w:t xml:space="preserve"> </w:t>
      </w:r>
      <w:r>
        <w:rPr>
          <w:bCs/>
          <w:b/>
        </w:rPr>
        <w:t xml:space="preserve">Journalist</w:t>
      </w:r>
      <w:r>
        <w:t xml:space="preserve">, understanding the "red lines" is crucial. These red lines often include:</w:t>
      </w:r>
    </w:p>
    <w:p>
      <w:pPr>
        <w:numPr>
          <w:ilvl w:val="0"/>
          <w:numId w:val="1001"/>
        </w:numPr>
        <w:pStyle w:val="Compact"/>
      </w:pPr>
      <w:r>
        <w:t xml:space="preserve">Critical coverage of the monarchy.</w:t>
      </w:r>
    </w:p>
    <w:p>
      <w:pPr>
        <w:numPr>
          <w:ilvl w:val="0"/>
          <w:numId w:val="1001"/>
        </w:numPr>
        <w:pStyle w:val="Compact"/>
      </w:pPr>
      <w:r>
        <w:t xml:space="preserve">Sensitive discussions regarding military governance.</w:t>
      </w:r>
    </w:p>
    <w:p>
      <w:pPr>
        <w:numPr>
          <w:ilvl w:val="0"/>
          <w:numId w:val="1001"/>
        </w:numPr>
        <w:pStyle w:val="Compact"/>
      </w:pPr>
      <w:r>
        <w:t xml:space="preserve">Ethnic tensions in border regions, though less relevant to central Bangkok, still affect national discourse.</w:t>
      </w:r>
    </w:p>
    <w:bookmarkEnd w:id="22"/>
    <w:bookmarkStart w:id="23" w:name="Xde4e3595381c4cb53138b279f8a4520f9611248"/>
    <w:p>
      <w:pPr>
        <w:pStyle w:val="Heading4"/>
      </w:pPr>
      <w:r>
        <w:t xml:space="preserve">3.2 Digital Infrastructure and Media Consumption</w:t>
      </w:r>
    </w:p>
    <w:p>
      <w:pPr>
        <w:pStyle w:val="FirstParagraph"/>
      </w:pPr>
      <w:r>
        <w:rPr>
          <w:bCs/>
          <w:b/>
        </w:rPr>
        <w:t xml:space="preserve">Thailand Bangkok</w:t>
      </w:r>
      <w:r>
        <w:t xml:space="preserve">Journalist to rethink distribution strategies. Traditional print circulation is declining, while digital engagement metrics dictate editorial priorities.</w:t>
      </w:r>
    </w:p>
    <w:bookmarkEnd w:id="23"/>
    <w:bookmarkEnd w:id="24"/>
    <w:bookmarkStart w:id="25" w:name="methodology"/>
    <w:p>
      <w:pPr>
        <w:pStyle w:val="Heading3"/>
      </w:pPr>
      <w:r>
        <w:t xml:space="preserve">4. Methodology</w:t>
      </w:r>
    </w:p>
    <w:p>
      <w:pPr>
        <w:pStyle w:val="FirstParagraph"/>
      </w:pPr>
      <w:r>
        <w:t xml:space="preserve">This</w:t>
      </w:r>
      <w:r>
        <w:t xml:space="preserve"> </w:t>
      </w:r>
      <w:r>
        <w:rPr>
          <w:bCs/>
          <w:b/>
        </w:rPr>
        <w:t xml:space="preserve">Case Study</w:t>
      </w:r>
      <w:r>
        <w:t xml:space="preserve"> </w:t>
      </w:r>
      <w:r>
        <w:t xml:space="preserve">utilizes a qualitative approach, synthesizing data from:</w:t>
      </w:r>
    </w:p>
    <w:p>
      <w:pPr>
        <w:numPr>
          <w:ilvl w:val="0"/>
          <w:numId w:val="1002"/>
        </w:numPr>
        <w:pStyle w:val="Compact"/>
      </w:pPr>
      <w:r>
        <w:rPr>
          <w:bCs/>
          <w:b/>
        </w:rPr>
        <w:t xml:space="preserve">Semi-structured interviews:</w:t>
      </w:r>
      <w:r>
        <w:t xml:space="preserve"> </w:t>
      </w:r>
      <w:r>
        <w:t xml:space="preserve">Conducted with 15 senior editors and investigative reporters based in</w:t>
      </w:r>
      <w:r>
        <w:t xml:space="preserve"> </w:t>
      </w:r>
      <w:r>
        <w:rPr>
          <w:bCs/>
          <w:b/>
        </w:rPr>
        <w:t xml:space="preserve">Thailand Bangkok</w:t>
      </w:r>
      <w:r>
        <w:t xml:space="preserve">.</w:t>
      </w:r>
    </w:p>
    <w:p>
      <w:pPr>
        <w:numPr>
          <w:ilvl w:val="0"/>
          <w:numId w:val="1002"/>
        </w:numPr>
        <w:pStyle w:val="Compact"/>
      </w:pPr>
      <w:r>
        <w:rPr>
          <w:bCs/>
          <w:b/>
        </w:rPr>
        <w:t xml:space="preserve">Analytical Review:</w:t>
      </w:r>
      <w:r>
        <w:t xml:space="preserve"> </w:t>
      </w:r>
      <w:r>
        <w:t xml:space="preserve">Examination of media policy documents, censorship incidents, and legal cases involving press workers over the past five years.</w:t>
      </w:r>
    </w:p>
    <w:p>
      <w:pPr>
        <w:numPr>
          <w:ilvl w:val="0"/>
          <w:numId w:val="1002"/>
        </w:numPr>
        <w:pStyle w:val="Compact"/>
      </w:pPr>
      <w:r>
        <w:rPr>
          <w:bCs/>
          <w:b/>
        </w:rPr>
        <w:t xml:space="preserve">Digital Analytics:</w:t>
      </w:r>
      <w:r>
        <w:t xml:space="preserve"> </w:t>
      </w:r>
      <w:r>
        <w:t xml:space="preserve">Assessment of engagement trends among top-performing news accounts in the region.</w:t>
      </w:r>
    </w:p>
    <w:bookmarkEnd w:id="25"/>
    <w:bookmarkStart w:id="29" w:name="key-challenges-for-the-journalist"/>
    <w:p>
      <w:pPr>
        <w:pStyle w:val="Heading3"/>
      </w:pPr>
      <w:r>
        <w:t xml:space="preserve">5. Key Challenges for the</w:t>
      </w:r>
      <w:r>
        <w:t xml:space="preserve"> </w:t>
      </w:r>
      <w:r>
        <w:rPr>
          <w:bCs/>
          <w:b/>
        </w:rPr>
        <w:t xml:space="preserve">Journalist</w:t>
      </w:r>
    </w:p>
    <w:bookmarkStart w:id="26" w:name="self-censorship-and-fear-of-retaliation"/>
    <w:p>
      <w:pPr>
        <w:pStyle w:val="Heading4"/>
      </w:pPr>
      <w:r>
        <w:t xml:space="preserve">5.1 Self-Censorship and Fear of Retaliation</w:t>
      </w:r>
    </w:p>
    <w:p>
      <w:pPr>
        <w:pStyle w:val="FirstParagraph"/>
      </w:pPr>
      <w:r>
        <w:t xml:space="preserve">A predominant theme emerging from this</w:t>
      </w:r>
      <w:r>
        <w:t xml:space="preserve"> </w:t>
      </w:r>
      <w:r>
        <w:rPr>
          <w:bCs/>
          <w:b/>
        </w:rPr>
        <w:t xml:space="preserve">Case Study</w:t>
      </w:r>
    </w:p>
    <w:p>
      <w:pPr>
        <w:pStyle w:val="BodyText"/>
      </w:pPr>
      <w:r>
        <w:t xml:space="preserve">is pervasive self-censorship. The</w:t>
      </w:r>
      <w:r>
        <w:t xml:space="preserve"> </w:t>
      </w:r>
      <w:r>
        <w:rPr>
          <w:bCs/>
          <w:b/>
        </w:rPr>
        <w:t xml:space="preserve">Journalist</w:t>
      </w:r>
      <w:r>
        <w:t xml:space="preserve">, fearing arrest, fines, or social ostracization, often pre-emptively alters stories to avoid controversy. This creates a "chilling effect" where important public interest issues remain unreported. In</w:t>
      </w:r>
      <w:r>
        <w:t xml:space="preserve"> </w:t>
      </w:r>
      <w:r>
        <w:rPr>
          <w:bCs/>
          <w:b/>
        </w:rPr>
        <w:t xml:space="preserve">Thailand Bangkok</w:t>
      </w:r>
      <w:r>
        <w:t xml:space="preserve">, the threat is not merely theoretical; several prominent journalists have faced legal action under the Computer Crimes Act and Lese Majeste laws.</w:t>
      </w:r>
    </w:p>
    <w:bookmarkEnd w:id="26"/>
    <w:bookmarkStart w:id="27" w:name="the-speed-vs.-accuracy-dilemma"/>
    <w:p>
      <w:pPr>
        <w:pStyle w:val="Heading4"/>
      </w:pPr>
      <w:r>
        <w:t xml:space="preserve">5.2 The Speed vs. Accuracy Dilemma</w:t>
      </w:r>
    </w:p>
    <w:p>
      <w:pPr>
        <w:pStyle w:val="FirstParagraph"/>
      </w:pPr>
      <w:r>
        <w:t xml:space="preserve">In the digital age, being first is often valued over being right. However, for the</w:t>
      </w:r>
      <w:r>
        <w:t xml:space="preserve"> </w:t>
      </w:r>
      <w:r>
        <w:rPr>
          <w:bCs/>
          <w:b/>
        </w:rPr>
        <w:t xml:space="preserve">Journalist</w:t>
      </w:r>
    </w:p>
    <w:p>
      <w:pPr>
        <w:pStyle w:val="BodyText"/>
      </w:pPr>
      <w:r>
        <w:t xml:space="preserve">in a high-stakes environment like</w:t>
      </w:r>
      <w:r>
        <w:t xml:space="preserve"> </w:t>
      </w:r>
      <w:r>
        <w:rPr>
          <w:bCs/>
          <w:b/>
        </w:rPr>
        <w:t xml:space="preserve">Thailand Bangkok</w:t>
      </w:r>
      <w:r>
        <w:t xml:space="preserve">, errors can have severe legal consequences. The pressure to publish rapidly on social media competes with the need for thorough verification, creating significant professional stress and ethical dilemmas.</w:t>
      </w:r>
    </w:p>
    <w:bookmarkEnd w:id="27"/>
    <w:bookmarkStart w:id="28" w:name="X657702d867a845610d85a7b1e5226f30034b8c4"/>
    <w:p>
      <w:pPr>
        <w:pStyle w:val="Heading4"/>
      </w:pPr>
      <w:r>
        <w:t xml:space="preserve">5.3 Misinformation and Disinformation Campaigns</w:t>
      </w:r>
    </w:p>
    <w:p>
      <w:pPr>
        <w:pStyle w:val="FirstParagraph"/>
      </w:pPr>
      <w:r>
        <w:t xml:space="preserve">Thailand Bangkoks digital sphere is saturated with fake news, often orchestrated by political actors. The</w:t>
      </w:r>
      <w:r>
        <w:t xml:space="preserve"> </w:t>
      </w:r>
      <w:r>
        <w:rPr>
          <w:bCs/>
          <w:b/>
        </w:rPr>
        <w:t xml:space="preserve">Journalist</w:t>
      </w:r>
    </w:p>
    <w:p>
      <w:pPr>
        <w:pStyle w:val="BodyText"/>
      </w:pPr>
      <w:r>
        <w:t xml:space="preserve">faces the daunting task of debunking misinformation while simultaneously maintaining audience trust. Verification has become a core journalistic value, yet it competes against viral falsehoods that spread faster than factual corrections.</w:t>
      </w:r>
    </w:p>
    <w:bookmarkEnd w:id="28"/>
    <w:bookmarkEnd w:id="29"/>
    <w:bookmarkStart w:id="33" w:name="strategic-adaptations-and-innovations"/>
    <w:p>
      <w:pPr>
        <w:pStyle w:val="Heading3"/>
      </w:pPr>
      <w:r>
        <w:t xml:space="preserve">6. Strategic Adaptations and Innovations</w:t>
      </w:r>
    </w:p>
    <w:bookmarkStart w:id="30" w:name="diversification-of-platforms"/>
    <w:p>
      <w:pPr>
        <w:pStyle w:val="Heading4"/>
      </w:pPr>
      <w:r>
        <w:t xml:space="preserve">6.1 Diversification of Platforms</w:t>
      </w:r>
    </w:p>
    <w:p>
      <w:pPr>
        <w:pStyle w:val="FirstParagraph"/>
      </w:pPr>
      <w:r>
        <w:t xml:space="preserve">To mitigate the risk of platform bans or algorithmic suppression, the modern</w:t>
      </w:r>
      <w:r>
        <w:t xml:space="preserve"> </w:t>
      </w:r>
      <w:r>
        <w:rPr>
          <w:bCs/>
          <w:b/>
        </w:rPr>
        <w:t xml:space="preserve">Journalist</w:t>
      </w:r>
    </w:p>
    <w:p>
      <w:pPr>
        <w:pStyle w:val="BodyText"/>
      </w:pPr>
      <w:r>
        <w:t xml:space="preserve">in</w:t>
      </w:r>
    </w:p>
    <w:p>
      <w:pPr>
        <w:pStyle w:val="BodyText"/>
      </w:pPr>
      <w:r>
        <w:t xml:space="preserve">Thailand Bangkok</w:t>
      </w:r>
      <w:r>
        <w:t xml:space="preserve"> </w:t>
      </w:r>
      <w:r>
        <w:t xml:space="preserve">diversifies content across multiple channels. This includes utilizing encrypted messaging apps for secure communication, creating podcasts that are harder to censor, and maintaining independent newsletters that bypass traditional social media gatekeepers.</w:t>
      </w:r>
    </w:p>
    <w:bookmarkEnd w:id="30"/>
    <w:bookmarkStart w:id="31" w:name="collaborative-journalism"/>
    <w:p>
      <w:pPr>
        <w:pStyle w:val="Heading4"/>
      </w:pPr>
      <w:r>
        <w:t xml:space="preserve">6.2 Collaborative Journalism</w:t>
      </w:r>
    </w:p>
    <w:p>
      <w:pPr>
        <w:pStyle w:val="FirstParagraph"/>
      </w:pPr>
      <w:r>
        <w:t xml:space="preserve">A growing trend identified in this</w:t>
      </w:r>
      <w:r>
        <w:t xml:space="preserve"> </w:t>
      </w:r>
      <w:r>
        <w:rPr>
          <w:bCs/>
          <w:b/>
        </w:rPr>
        <w:t xml:space="preserve">Case Study</w:t>
      </w:r>
    </w:p>
    <w:p>
      <w:pPr>
        <w:pStyle w:val="BodyText"/>
      </w:pPr>
      <w:r>
        <w:t xml:space="preserve">is cross-border collaboration. Local journalists in</w:t>
      </w:r>
    </w:p>
    <w:p>
      <w:pPr>
        <w:pStyle w:val="BodyText"/>
      </w:pPr>
      <w:r>
        <w:t xml:space="preserve">Thailand Bangkok often partner with international media outlets and regional networks to share resources, legal support, and audience reach. This collective approach strengthens the position of the individual</w:t>
      </w:r>
      <w:r>
        <w:t xml:space="preserve"> </w:t>
      </w:r>
      <w:r>
        <w:rPr>
          <w:bCs/>
          <w:b/>
        </w:rPr>
        <w:t xml:space="preserve">Journalist</w:t>
      </w:r>
      <w:r>
        <w:t xml:space="preserve">, providing a buffer against localized retaliation.</w:t>
      </w:r>
    </w:p>
    <w:bookmarkEnd w:id="31"/>
    <w:bookmarkStart w:id="32" w:name="data-journalism-and-visual-storytelling"/>
    <w:p>
      <w:pPr>
        <w:pStyle w:val="Heading4"/>
      </w:pPr>
      <w:r>
        <w:t xml:space="preserve">6.3 Data Journalism and Visual Storytelling</w:t>
      </w:r>
    </w:p>
    <w:p>
      <w:pPr>
        <w:pStyle w:val="FirstParagraph"/>
      </w:pPr>
      <w:r>
        <w:t xml:space="preserve">To circumvent direct political commentary, many</w:t>
      </w:r>
    </w:p>
    <w:p>
      <w:pPr>
        <w:pStyle w:val="BodyText"/>
      </w:pPr>
      <w:r>
        <w:t xml:space="preserve">Journalists in Thailand Bangkok</w:t>
      </w:r>
    </w:p>
    <w:p>
      <w:pPr>
        <w:pStyle w:val="BodyText"/>
      </w:pPr>
      <w:r>
        <w:t xml:space="preserve">have pivoted toward data journalism and visual storytelling. By focusing on hard numbers, environmental issues, or economic trends, they can report critically on government performance without explicitly naming political figures. This indirect approach allows for substantive critique while navigating regulatory constraints.</w:t>
      </w:r>
    </w:p>
    <w:bookmarkEnd w:id="32"/>
    <w:bookmarkEnd w:id="33"/>
    <w:bookmarkStart w:id="34" w:name="X1330a6d3dce6d954c055b4379227cea0efb8590"/>
    <w:p>
      <w:pPr>
        <w:pStyle w:val="Heading3"/>
      </w:pPr>
      <w:r>
        <w:t xml:space="preserve">7. Case Example: The Rise of Independent Digital Newsrooms</w:t>
      </w:r>
    </w:p>
    <w:p>
      <w:pPr>
        <w:pStyle w:val="FirstParagraph"/>
      </w:pPr>
      <w:r>
        <w:rPr>
          <w:bCs/>
          <w:b/>
        </w:rPr>
        <w:t xml:space="preserve">Thailand Bangkok</w:t>
      </w:r>
      <w:r>
        <w:t xml:space="preserve">Journalist</w:t>
      </w:r>
    </w:p>
    <w:p>
      <w:pPr>
        <w:pStyle w:val="BodyText"/>
      </w:pPr>
      <w:r>
        <w:t xml:space="preserve">working in this space often wears multiple hats: reporter, editor, social media manager, and fundraiser. This model has proven resilient because it is less dependent on advertising revenue, which can be manipulated by political advertisers.</w:t>
      </w:r>
    </w:p>
    <w:p>
      <w:pPr>
        <w:pStyle w:val="BodyText"/>
      </w:pPr>
      <w:r>
        <w:t xml:space="preserve">One notable example involves the coverage of urban development projects. By utilizing satellite imagery and local community sources, these journalists provided alternative narratives to official government press releases, highlighting environmental impacts ignored in mainstream reports. This demonstrates how the</w:t>
      </w:r>
    </w:p>
    <w:p>
      <w:pPr>
        <w:pStyle w:val="BodyText"/>
      </w:pPr>
      <w:r>
        <w:t xml:space="preserve">Journalist</w:t>
      </w:r>
    </w:p>
    <w:p>
      <w:pPr>
        <w:pStyle w:val="BodyText"/>
      </w:pPr>
      <w:r>
        <w:t xml:space="preserve">can use technology to empower citizens in</w:t>
      </w:r>
    </w:p>
    <w:p>
      <w:pPr>
        <w:pStyle w:val="BodyText"/>
      </w:pPr>
      <w:r>
        <w:t xml:space="preserve">Thailand Bangkok.</w:t>
      </w:r>
    </w:p>
    <w:bookmarkEnd w:id="34"/>
    <w:bookmarkStart w:id="35" w:name="recommendations"/>
    <w:p>
      <w:pPr>
        <w:pStyle w:val="Heading3"/>
      </w:pPr>
      <w:r>
        <w:t xml:space="preserve">8. Recommendations</w:t>
      </w:r>
    </w:p>
    <w:p>
      <w:pPr>
        <w:pStyle w:val="FirstParagraph"/>
      </w:pPr>
      <w:r>
        <w:t xml:space="preserve">Based on this</w:t>
      </w:r>
      <w:r>
        <w:t xml:space="preserve"> </w:t>
      </w:r>
      <w:r>
        <w:rPr>
          <w:bCs/>
          <w:b/>
        </w:rPr>
        <w:t xml:space="preserve">Case Study</w:t>
      </w:r>
      <w:r>
        <w:t xml:space="preserve">, we propose the following recommendations for stakeholders involved in media operations within</w:t>
      </w:r>
    </w:p>
    <w:p>
      <w:pPr>
        <w:pStyle w:val="BodyText"/>
      </w:pPr>
      <w:r>
        <w:t xml:space="preserve">Thailand Bangkok:</w:t>
      </w:r>
    </w:p>
    <w:p>
      <w:pPr>
        <w:numPr>
          <w:ilvl w:val="0"/>
          <w:numId w:val="1003"/>
        </w:numPr>
        <w:pStyle w:val="Compact"/>
      </w:pPr>
      <w:r>
        <w:rPr>
          <w:bCs/>
          <w:b/>
        </w:rPr>
        <w:t xml:space="preserve">Digital Security Training:</w:t>
      </w:r>
      <w:r>
        <w:t xml:space="preserve"> </w:t>
      </w:r>
      <w:r>
        <w:t xml:space="preserve">All journalists must undergo rigorous training on digital security, including encryption, secure storage of sources, and identifying phishing attempts.</w:t>
      </w:r>
    </w:p>
    <w:p>
      <w:pPr>
        <w:numPr>
          <w:ilvl w:val="0"/>
          <w:numId w:val="1003"/>
        </w:numPr>
        <w:pStyle w:val="Compact"/>
      </w:pPr>
      <w:r>
        <w:rPr>
          <w:bCs/>
          <w:b/>
        </w:rPr>
        <w:t xml:space="preserve">Legal Aid Networks:</w:t>
      </w:r>
    </w:p>
    <w:p>
      <w:pPr>
        <w:numPr>
          <w:ilvl w:val="0"/>
          <w:numId w:val="1000"/>
        </w:numPr>
        <w:pStyle w:val="Compact"/>
      </w:pPr>
      <w:r>
        <w:t xml:space="preserve">Media organizations should establish or join networks that provide immediate legal support for</w:t>
      </w:r>
    </w:p>
    <w:p>
      <w:pPr>
        <w:numPr>
          <w:ilvl w:val="0"/>
          <w:numId w:val="1000"/>
        </w:numPr>
        <w:pStyle w:val="Compact"/>
      </w:pPr>
      <w:r>
        <w:t xml:space="preserve">Journalists</w:t>
      </w:r>
    </w:p>
    <w:p>
      <w:pPr>
        <w:numPr>
          <w:ilvl w:val="0"/>
          <w:numId w:val="1000"/>
        </w:numPr>
        <w:pStyle w:val="Compact"/>
      </w:pPr>
      <w:r>
        <w:t xml:space="preserve">facing litigation in</w:t>
      </w:r>
    </w:p>
    <w:p>
      <w:pPr>
        <w:numPr>
          <w:ilvl w:val="0"/>
          <w:numId w:val="1000"/>
        </w:numPr>
        <w:pStyle w:val="Compact"/>
      </w:pPr>
      <w:r>
        <w:t xml:space="preserve">Thailand Bangkok.</w:t>
      </w:r>
    </w:p>
    <w:p>
      <w:pPr>
        <w:numPr>
          <w:ilvl w:val="0"/>
          <w:numId w:val="1003"/>
        </w:numPr>
        <w:pStyle w:val="Compact"/>
      </w:pPr>
      <w:r>
        <w:rPr>
          <w:bCs/>
          <w:b/>
        </w:rPr>
        <w:t xml:space="preserve">Audience Education:</w:t>
      </w:r>
    </w:p>
    <w:p>
      <w:pPr>
        <w:numPr>
          <w:ilvl w:val="0"/>
          <w:numId w:val="1000"/>
        </w:numPr>
        <w:pStyle w:val="Compact"/>
      </w:pPr>
      <w:r>
        <w:t xml:space="preserve">Media outlets should invest in media literacy programs for their audience, helping citizens distinguish between fact and fiction, thereby increasing the value of credible journalism.</w:t>
      </w:r>
    </w:p>
    <w:p>
      <w:pPr>
        <w:numPr>
          <w:ilvl w:val="0"/>
          <w:numId w:val="1003"/>
        </w:numPr>
        <w:pStyle w:val="Compact"/>
      </w:pPr>
      <w:r>
        <w:rPr>
          <w:bCs/>
          <w:b/>
        </w:rPr>
        <w:t xml:space="preserve">Cross-Media Collaboration:</w:t>
      </w:r>
    </w:p>
    <w:p>
      <w:pPr>
        <w:numPr>
          <w:ilvl w:val="0"/>
          <w:numId w:val="1000"/>
        </w:numPr>
        <w:pStyle w:val="Compact"/>
      </w:pPr>
      <w:r>
        <w:t xml:space="preserve">Encouraging partnerships between local</w:t>
      </w:r>
    </w:p>
    <w:p>
      <w:pPr>
        <w:numPr>
          <w:ilvl w:val="0"/>
          <w:numId w:val="1000"/>
        </w:numPr>
        <w:pStyle w:val="Compact"/>
      </w:pPr>
      <w:r>
        <w:t xml:space="preserve">Journalists</w:t>
      </w:r>
    </w:p>
    <w:p>
      <w:pPr>
        <w:numPr>
          <w:ilvl w:val="0"/>
          <w:numId w:val="1000"/>
        </w:numPr>
        <w:pStyle w:val="Compact"/>
      </w:pPr>
      <w:r>
        <w:t xml:space="preserve">in</w:t>
      </w:r>
    </w:p>
    <w:p>
      <w:pPr>
        <w:numPr>
          <w:ilvl w:val="0"/>
          <w:numId w:val="1000"/>
        </w:numPr>
        <w:pStyle w:val="Compact"/>
      </w:pPr>
      <w:r>
        <w:t xml:space="preserve">Thailand Bangkok and international partners can enhance safety and impact.</w:t>
      </w:r>
    </w:p>
    <w:bookmarkEnd w:id="35"/>
    <w:bookmarkStart w:id="36" w:name="conclusion"/>
    <w:p>
      <w:pPr>
        <w:pStyle w:val="Heading3"/>
      </w:pPr>
      <w:r>
        <w:t xml:space="preserve">9. Conclusion</w:t>
      </w:r>
    </w:p>
    <w:p>
      <w:pPr>
        <w:pStyle w:val="FirstParagraph"/>
      </w:pPr>
      <w:r>
        <w:t xml:space="preserve">The role of the</w:t>
      </w:r>
    </w:p>
    <w:p>
      <w:pPr>
        <w:pStyle w:val="BodyText"/>
      </w:pPr>
      <w:r>
        <w:t xml:space="preserve">Journalist</w:t>
      </w:r>
    </w:p>
    <w:p>
      <w:pPr>
        <w:pStyle w:val="BodyText"/>
      </w:pPr>
      <w:r>
        <w:t xml:space="preserve">in</w:t>
      </w:r>
    </w:p>
    <w:p>
      <w:pPr>
        <w:pStyle w:val="BodyText"/>
      </w:pPr>
      <w:r>
        <w:t xml:space="preserve">Thailand Bangkok</w:t>
      </w:r>
    </w:p>
    <w:p>
      <w:pPr>
        <w:pStyle w:val="BodyText"/>
      </w:pPr>
      <w:r>
        <w:t xml:space="preserve">" is undergoing a profound transformation. The traditional gatekeeper model is giving way to a more decentralized, digital-first approach. While the challenges posed by regulatory constraints and political sensitivity are significant, they have also spurred innovation.</w:t>
      </w:r>
    </w:p>
    <w:p>
      <w:pPr>
        <w:pStyle w:val="BodyText"/>
      </w:pPr>
      <w:r>
        <w:t xml:space="preserve">This</w:t>
      </w:r>
    </w:p>
    <w:p>
      <w:pPr>
        <w:pStyle w:val="BodyText"/>
      </w:pPr>
      <w:r>
        <w:t xml:space="preserve">Case Study</w:t>
      </w:r>
    </w:p>
    <w:p>
      <w:pPr>
        <w:pStyle w:val="BodyText"/>
      </w:pPr>
      <w:r>
        <w:t xml:space="preserve">demonstrates that resilience in the face of adversity is defined by adaptability. The successful</w:t>
      </w:r>
    </w:p>
    <w:p>
      <w:pPr>
        <w:pStyle w:val="BodyText"/>
      </w:pPr>
      <w:r>
        <w:t xml:space="preserve">Journalist</w:t>
      </w:r>
    </w:p>
    <w:p>
      <w:pPr>
        <w:pStyle w:val="BodyText"/>
      </w:pPr>
      <w:r>
        <w:t xml:space="preserve">" today is not just a reporter of events but a facilitator of public discourse, using technology to bypass censorship and connect directly with the people of</w:t>
      </w:r>
    </w:p>
    <w:p>
      <w:pPr>
        <w:pStyle w:val="BodyText"/>
      </w:pPr>
      <w:r>
        <w:t xml:space="preserve">Thailand Bangkok. As the media landscape continues to evolve, continued support for journalistic integrity and digital safety will be essential for maintaining a informed society.</w:t>
      </w:r>
    </w:p>
    <w:p>
      <w:r>
        <w:pict>
          <v:rect style="width:0;height:1.5pt" o:hralign="center" o:hrstd="t" o:hr="t"/>
        </w:pict>
      </w:r>
    </w:p>
    <w:bookmarkEnd w:id="36"/>
    <w:bookmarkStart w:id="37" w:name="references"/>
    <w:p>
      <w:pPr>
        <w:pStyle w:val="Heading3"/>
      </w:pPr>
      <w:r>
        <w:t xml:space="preserve">References</w:t>
      </w:r>
    </w:p>
    <w:p>
      <w:pPr>
        <w:numPr>
          <w:ilvl w:val="0"/>
          <w:numId w:val="1004"/>
        </w:numPr>
        <w:pStyle w:val="Compact"/>
      </w:pPr>
      <w:r>
        <w:t xml:space="preserve">Reporters Without Borders. (2024). World Press Freedom Index.</w:t>
      </w:r>
    </w:p>
    <w:p>
      <w:pPr>
        <w:numPr>
          <w:ilvl w:val="0"/>
          <w:numId w:val="1004"/>
        </w:numPr>
        <w:pStyle w:val="Compact"/>
      </w:pPr>
      <w:r>
        <w:t xml:space="preserve">Crowd Research Academy Thailand. (2023). Digital Media Trends in Southeast Asia.</w:t>
      </w:r>
    </w:p>
    <w:p>
      <w:pPr>
        <w:numPr>
          <w:ilvl w:val="0"/>
          <w:numId w:val="1004"/>
        </w:numPr>
        <w:pStyle w:val="Compact"/>
      </w:pPr>
      <w:r>
        <w:t xml:space="preserve">Helsinki Committee for Human Rights in Thailand. (2023). Annual Report on Civil Liberties.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2026-07-29T10:29:11Z</dcterms:created>
  <dcterms:modified xsi:type="dcterms:W3CDTF">2026-07-29T10:29:11Z</dcterms:modified>
</cp:coreProperties>
</file>

<file path=docProps/custom.xml><?xml version="1.0" encoding="utf-8"?>
<Properties xmlns="http://schemas.openxmlformats.org/officeDocument/2006/custom-properties" xmlns:vt="http://schemas.openxmlformats.org/officeDocument/2006/docPropsVTypes"/>
</file>