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Judiciary</w:t>
      </w:r>
      <w:r>
        <w:t xml:space="preserve"> </w:t>
      </w:r>
      <w:r>
        <w:t xml:space="preserve">in</w:t>
      </w:r>
      <w:r>
        <w:t xml:space="preserve"> </w:t>
      </w:r>
      <w:r>
        <w:t xml:space="preserve">Belgium</w:t>
      </w:r>
      <w:r>
        <w:t xml:space="preserve"> </w:t>
      </w:r>
      <w:r>
        <w:t xml:space="preserve">Brussels</w:t>
      </w:r>
    </w:p>
    <w:bookmarkStart w:id="24" w:name="X51ee5700ec68c9dd178458a593f996de752fe1d"/>
    <w:p>
      <w:pPr>
        <w:pStyle w:val="Heading1"/>
      </w:pPr>
      <w:r>
        <w:t xml:space="preserve">Case Study Analysis of the Legal System for a Judge in Belgium Brussels</w:t>
      </w:r>
    </w:p>
    <w:p>
      <w:pPr>
        <w:pStyle w:val="FirstParagraph"/>
      </w:pPr>
      <w:r>
        <w:rPr>
          <w:bCs/>
          <w:b/>
        </w:rPr>
        <w:t xml:space="preserve">Purpose:</w:t>
      </w:r>
      <w:r>
        <w:t xml:space="preserve"> </w:t>
      </w:r>
      <w:r>
        <w:t xml:space="preserve">This document provides an in-depth examination of the professional environment, legal framework, and administrative challenges faced by a</w:t>
      </w:r>
      <w:r>
        <w:t xml:space="preserve"> </w:t>
      </w:r>
      <w:r>
        <w:rPr>
          <w:bCs/>
          <w:b/>
        </w:rPr>
        <w:t xml:space="preserve">Judge</w:t>
      </w:r>
      <w:r>
        <w:t xml:space="preserve">, with specific reference to the judicial landscape in</w:t>
      </w:r>
      <w:r>
        <w:t xml:space="preserve"> </w:t>
      </w:r>
      <w:r>
        <w:rPr>
          <w:bCs/>
          <w:b/>
        </w:rPr>
        <w:t xml:space="preserve">Belgium Brussels</w:t>
      </w:r>
      <w:r>
        <w:t xml:space="preserve">. It serves as a comprehensive case study to understand the complexities of administering justice within one of Europe's most politically significant jurisdictions.</w:t>
      </w:r>
    </w:p>
    <w:bookmarkStart w:id="20" w:name="X720706e7af9d881199382e8d82ffde8087caba0"/>
    <w:p>
      <w:pPr>
        <w:pStyle w:val="Heading2"/>
      </w:pPr>
      <w:r>
        <w:t xml:space="preserve">1. Introduction: The Context of Justice in Belgium Brussels</w:t>
      </w:r>
    </w:p>
    <w:p>
      <w:pPr>
        <w:pStyle w:val="FirstParagraph"/>
      </w:pPr>
      <w:r>
        <w:t xml:space="preserve">The role of a</w:t>
      </w:r>
      <w:r>
        <w:t xml:space="preserve"> </w:t>
      </w:r>
      <w:r>
        <w:rPr>
          <w:bCs/>
          <w:b/>
        </w:rPr>
        <w:t xml:space="preserve">Judge</w:t>
      </w:r>
      <w:r>
        <w:t xml:space="preserve"> </w:t>
      </w:r>
      <w:r>
        <w:t xml:space="preserve">is pivotal in maintaining the rule of law, ensuring fairness, and upholding constitutional rights. In the context of</w:t>
      </w:r>
      <w:r>
        <w:t xml:space="preserve"> </w:t>
      </w:r>
      <w:r>
        <w:rPr>
          <w:bCs/>
          <w:b/>
        </w:rPr>
        <w:t xml:space="preserve">Belgium Brussels</w:t>
      </w:r>
      <w:r>
        <w:t xml:space="preserve">, this role assumes a unique dimension due to the city's status as both the capital of Belgium and one de facto capitals of the European Union. The judicial system in</w:t>
      </w:r>
      <w:r>
        <w:t xml:space="preserve"> </w:t>
      </w:r>
      <w:r>
        <w:rPr>
          <w:bCs/>
          <w:b/>
        </w:rPr>
        <w:t xml:space="preserve">Belgium Brussels</w:t>
      </w:r>
      <w:r>
        <w:t xml:space="preserve"> </w:t>
      </w:r>
      <w:r>
        <w:t xml:space="preserve">is not merely local; it is deeply intertwined with national federal structures and international legal frameworks. This case study explores how a</w:t>
      </w:r>
      <w:r>
        <w:t xml:space="preserve"> </w:t>
      </w:r>
      <w:r>
        <w:rPr>
          <w:bCs/>
          <w:b/>
        </w:rPr>
        <w:t xml:space="preserve">Judge</w:t>
      </w:r>
      <w:r>
        <w:t xml:space="preserve"> </w:t>
      </w:r>
      <w:r>
        <w:t xml:space="preserve">operates within this complex ecosystem, balancing domestic law with the influence of EU regulations and international human rights standards.</w:t>
      </w:r>
      <w:r>
        <w:t xml:space="preserve"> </w:t>
      </w:r>
      <w:r>
        <w:t xml:space="preserve">Understanding the position of a</w:t>
      </w:r>
      <w:r>
        <w:t xml:space="preserve"> </w:t>
      </w:r>
      <w:r>
        <w:rPr>
          <w:bCs/>
          <w:b/>
        </w:rPr>
        <w:t xml:space="preserve">Judge</w:t>
      </w:r>
      <w:r>
        <w:t xml:space="preserve"> </w:t>
      </w:r>
      <w:r>
        <w:t xml:space="preserve">in</w:t>
      </w:r>
      <w:r>
        <w:t xml:space="preserve"> </w:t>
      </w:r>
      <w:r>
        <w:rPr>
          <w:bCs/>
          <w:b/>
        </w:rPr>
        <w:t xml:space="preserve">Belgium Brussels</w:t>
      </w:r>
      <w:r>
        <w:t xml:space="preserve"> </w:t>
      </w:r>
      <w:r>
        <w:t xml:space="preserve">requires an appreciation for Belgium’s federal nature. The country is divided into linguistic communities and regions, yet Brussels-Hoofdstad serves as a bilingual zone where both Dutch and French are official languages. This linguistic duality directly impacts the procedural conduct of a</w:t>
      </w:r>
      <w:r>
        <w:t xml:space="preserve"> </w:t>
      </w:r>
      <w:r>
        <w:rPr>
          <w:bCs/>
          <w:b/>
        </w:rPr>
        <w:t xml:space="preserve">Judge</w:t>
      </w:r>
      <w:r>
        <w:t xml:space="preserve">, who must ensure that legal proceedings are accessible and understandable to all parties involved, regardless of their primary language. Consequently, the</w:t>
      </w:r>
      <w:r>
        <w:t xml:space="preserve"> </w:t>
      </w:r>
      <w:r>
        <w:rPr>
          <w:bCs/>
          <w:b/>
        </w:rPr>
        <w:t xml:space="preserve">Case Study</w:t>
      </w:r>
      <w:r>
        <w:t xml:space="preserve"> </w:t>
      </w:r>
      <w:r>
        <w:t xml:space="preserve">highlights language proficiency as a critical competency for judicial officers in this specific region.</w:t>
      </w:r>
    </w:p>
    <w:bookmarkEnd w:id="20"/>
    <w:bookmarkStart w:id="21" w:name="X1e959466cb2e3dd30a763a53dcefa6c6a6012cd"/>
    <w:p>
      <w:pPr>
        <w:pStyle w:val="Heading2"/>
      </w:pPr>
      <w:r>
        <w:t xml:space="preserve">2. The Institutional Framework: Structure and Authority</w:t>
      </w:r>
    </w:p>
    <w:p>
      <w:pPr>
        <w:pStyle w:val="FirstParagraph"/>
      </w:pPr>
      <w:r>
        <w:t xml:space="preserve">The judiciary in</w:t>
      </w:r>
      <w:r>
        <w:t xml:space="preserve"> </w:t>
      </w:r>
      <w:r>
        <w:rPr>
          <w:bCs/>
          <w:b/>
        </w:rPr>
        <w:t xml:space="preserve">Belgium Brussels</w:t>
      </w:r>
      <w:r>
        <w:t xml:space="preserve">JudgeJudge, navigating this framework requires rigorous adherence to procedural codes established by the Belgian legislature. However, because</w:t>
      </w:r>
      <w:r>
        <w:t xml:space="preserve"> </w:t>
      </w:r>
      <w:r>
        <w:rPr>
          <w:bCs/>
          <w:b/>
        </w:rPr>
        <w:t xml:space="preserve">Belgium Brussels</w:t>
      </w:r>
      <w:r>
        <w:t xml:space="preserve"> </w:t>
      </w:r>
      <w:r>
        <w:t xml:space="preserve">hosts numerous international institutions, judges are frequently exposed to cases with cross-border implications. These may include disputes involving diplomatic immunity, international organizations located in the capital, or complex multinational commercial contracts. The</w:t>
      </w:r>
      <w:r>
        <w:t xml:space="preserve"> </w:t>
      </w:r>
      <w:r>
        <w:rPr>
          <w:bCs/>
          <w:b/>
        </w:rPr>
        <w:t xml:space="preserve">Judge</w:t>
      </w:r>
      <w:r>
        <w:t xml:space="preserve"> </w:t>
      </w:r>
      <w:r>
        <w:t xml:space="preserve">must therefore possess a nuanced understanding of both national statutory law and principles of international law that operate within the territory of</w:t>
      </w:r>
      <w:r>
        <w:t xml:space="preserve"> </w:t>
      </w:r>
      <w:r>
        <w:rPr>
          <w:bCs/>
          <w:b/>
        </w:rPr>
        <w:t xml:space="preserve">Belgium Brussels</w:t>
      </w:r>
      <w:r>
        <w:t xml:space="preserve">.</w:t>
      </w:r>
      <w:r>
        <w:t xml:space="preserve"> </w:t>
      </w:r>
      <w:r>
        <w:t xml:space="preserve">Furthermore, the independence of a</w:t>
      </w:r>
    </w:p>
    <w:p>
      <w:pPr>
        <w:pStyle w:val="BodyText"/>
      </w:pPr>
      <w:r>
        <w:t xml:space="preserve">Judge3. Linguistic Challenges and Inclusivity</w:t>
      </w:r>
    </w:p>
    <w:p>
      <w:pPr>
        <w:pStyle w:val="BodyText"/>
      </w:pPr>
      <w:r>
        <w:t xml:space="preserve">One of the most distinct aspects of serving as a</w:t>
      </w:r>
      <w:r>
        <w:t xml:space="preserve"> </w:t>
      </w:r>
      <w:r>
        <w:rPr>
          <w:bCs/>
          <w:b/>
        </w:rPr>
        <w:t xml:space="preserve">Judge</w:t>
      </w:r>
      <w:r>
        <w:t xml:space="preserve"> </w:t>
      </w:r>
      <w:r>
        <w:t xml:space="preserve">in</w:t>
      </w:r>
      <w:r>
        <w:t xml:space="preserve"> </w:t>
      </w:r>
      <w:r>
        <w:rPr>
          <w:bCs/>
          <w:b/>
        </w:rPr>
        <w:t xml:space="preserve">Belgium Brussels</w:t>
      </w:r>
      <w:r>
        <w:t xml:space="preserve">Judge, this creates an added layer of responsibility regarding clarity and accuracy in communication.</w:t>
      </w:r>
      <w:r>
        <w:t xml:space="preserve"> </w:t>
      </w:r>
      <w:r>
        <w:t xml:space="preserve">Misinterpretation due to language barriers can lead to miscarriages of justice or prolonged legal battles. Therefore, the case study identifies the need for robust interpretation services and bilingual legal expertise within the court staff supporting each</w:t>
      </w:r>
      <w:r>
        <w:t xml:space="preserve"> </w:t>
      </w:r>
      <w:r>
        <w:rPr>
          <w:bCs/>
          <w:b/>
        </w:rPr>
        <w:t xml:space="preserve">Judge</w:t>
      </w:r>
      <w:r>
        <w:t xml:space="preserve">. In criminal cases, where a defendant’s right to understand charges is fundamental, this linguistic competence is not just an administrative detail but a core component of fair trial rights. The</w:t>
      </w:r>
      <w:r>
        <w:t xml:space="preserve"> </w:t>
      </w:r>
      <w:r>
        <w:rPr>
          <w:bCs/>
          <w:b/>
        </w:rPr>
        <w:t xml:space="preserve">Judge in</w:t>
      </w:r>
      <w:r>
        <w:rPr>
          <w:bCs/>
          <w:b/>
        </w:rPr>
        <w:t xml:space="preserve"> </w:t>
      </w:r>
      <w:r>
        <w:rPr>
          <w:bCs/>
          <w:b/>
          <w:bCs/>
          <w:b/>
        </w:rPr>
        <w:t xml:space="preserve">Belgium Brussels acts as the gatekeeper for linguistic equity, ensuring that neither party is disadvantaged by their language preference.</w:t>
      </w:r>
    </w:p>
    <w:bookmarkEnd w:id="21"/>
    <w:bookmarkStart w:id="22" w:name="X8a2a0ea0965c8a76e3f8ec1774a547a6dfef361"/>
    <w:p>
      <w:pPr>
        <w:pStyle w:val="Heading2"/>
      </w:pPr>
      <w:r>
        <w:t xml:space="preserve">4. Case Complexity and Specialized Jurisdictions</w:t>
      </w:r>
    </w:p>
    <w:p>
      <w:pPr>
        <w:pStyle w:val="FirstParagraph"/>
      </w:pPr>
      <w:r>
        <w:t xml:space="preserve">Due to the high density of corporate headquarters, NGOs, and international bodies in</w:t>
      </w:r>
      <w:r>
        <w:t xml:space="preserve"> </w:t>
      </w:r>
      <w:r>
        <w:rPr>
          <w:bCs/>
          <w:b/>
        </w:rPr>
        <w:t xml:space="preserve">Belgium Brussels</w:t>
      </w:r>
      <w:r>
        <w:t xml:space="preserve">, the docket of a</w:t>
      </w:r>
      <w:r>
        <w:t xml:space="preserve"> </w:t>
      </w:r>
      <w:r>
        <w:rPr>
          <w:bCs/>
          <w:b/>
        </w:rPr>
        <w:t xml:space="preserve">JudgeJudges in this region often undergo specialized training or sit on specialized chambers dealing with economic crime, immigration law, or asylum applications—issues heavily influenced by EU policy. For instance, a</w:t>
      </w:r>
      <w:r>
        <w:rPr>
          <w:bCs/>
          <w:b/>
        </w:rPr>
        <w:t xml:space="preserve"> </w:t>
      </w:r>
      <w:r>
        <w:rPr>
          <w:bCs/>
          <w:b/>
          <w:bCs/>
          <w:b/>
        </w:rPr>
        <w:t xml:space="preserve">Judge may need to interpret directives from the European Court of Justice (CJEU) when resolving disputes that arise in</w:t>
      </w:r>
      <w:r>
        <w:rPr>
          <w:bCs/>
          <w:b/>
          <w:bCs/>
          <w:b/>
        </w:rPr>
        <w:t xml:space="preserve"> </w:t>
      </w:r>
      <w:r>
        <w:rPr>
          <w:bCs/>
          <w:b/>
          <w:bCs/>
          <w:b/>
          <w:bCs/>
          <w:b/>
        </w:rPr>
        <w:t xml:space="preserve">Belgium Brussels</w:t>
      </w:r>
      <w:r>
        <w:rPr>
          <w:bCs/>
          <w:b/>
          <w:bCs/>
          <w:b/>
        </w:rPr>
        <w:t xml:space="preserve">. This interplay between national and supranational legal authority defines the modern judicial experience in the capital.</w:t>
      </w:r>
    </w:p>
    <w:bookmarkEnd w:id="22"/>
    <w:bookmarkStart w:id="23" w:name="ethical-standards-and-public-perception"/>
    <w:p>
      <w:pPr>
        <w:pStyle w:val="Heading2"/>
      </w:pPr>
      <w:r>
        <w:t xml:space="preserve">5. Ethical Standards and Public Perception</w:t>
      </w:r>
    </w:p>
    <w:p>
      <w:pPr>
        <w:pStyle w:val="FirstParagraph"/>
      </w:pPr>
      <w:r>
        <w:t xml:space="preserve">The ethical obligations of a</w:t>
      </w:r>
    </w:p>
    <w:p>
      <w:pPr>
        <w:pStyle w:val="BodyText"/>
      </w:pPr>
      <w:r>
        <w:t xml:space="preserve">JudgeBelgium Brussels, where the legal community is small and interconnected with the political sphere, maintaining visible impartiality is challenging yet essential. The case study examines instances where judges must recuse themselves from cases involving former colleagues or entities with which they have prior professional associations.</w:t>
      </w:r>
      <w:r>
        <w:t xml:space="preserve"> </w:t>
      </w:r>
      <w:r>
        <w:t xml:space="preserve">Public trust in the judiciary is fragile. High-profile cases in</w:t>
      </w:r>
      <w:r>
        <w:t xml:space="preserve"> </w:t>
      </w:r>
      <w:r>
        <w:rPr>
          <w:bCs/>
          <w:b/>
        </w:rPr>
        <w:t xml:space="preserve">Belgium Brussels</w:t>
      </w:r>
      <w:r>
        <w:t xml:space="preserve"> </w:t>
      </w:r>
      <w:r>
        <w:t xml:space="preserve">often attract significant media attention, creating a pressure cooker environment for the presiding</w:t>
      </w:r>
    </w:p>
    <w:p>
      <w:pPr>
        <w:pStyle w:val="BodyText"/>
      </w:pPr>
      <w:r>
        <w:t xml:space="preserve">Judge. The case study argues that transparency and clear reasoning in judgments are vital tools for a</w:t>
      </w:r>
    </w:p>
    <w:p>
      <w:pPr>
        <w:pStyle w:val="BodyText"/>
      </w:pPr>
      <w:r>
        <w:t xml:space="preserve">Judge6. Conclusion: The Role of Judgment in a Global Hub</w:t>
      </w:r>
    </w:p>
    <w:p>
      <w:pPr>
        <w:pStyle w:val="BodyText"/>
      </w:pPr>
      <w:r>
        <w:t xml:space="preserve">In conclusion, this</w:t>
      </w:r>
    </w:p>
    <w:p>
      <w:pPr>
        <w:pStyle w:val="BodyText"/>
      </w:pPr>
      <w:r>
        <w:t xml:space="preserve">Case Study illustrates that being a</w:t>
      </w:r>
    </w:p>
    <w:p>
      <w:pPr>
        <w:pStyle w:val="BodyText"/>
      </w:pPr>
      <w:r>
        <w:t xml:space="preserve">JudgeBelgium BrusselsJudge in this region must be adaptable, culturally aware, linguistically proficient, and ethically unshakeable.</w:t>
      </w:r>
      <w:r>
        <w:t xml:space="preserve"> </w:t>
      </w:r>
      <w:r>
        <w:t xml:space="preserve">The challenges faced by a</w:t>
      </w:r>
    </w:p>
    <w:p>
      <w:pPr>
        <w:pStyle w:val="BodyText"/>
      </w:pPr>
      <w:r>
        <w:t xml:space="preserve">Judge in</w:t>
      </w:r>
    </w:p>
    <w:p>
      <w:pPr>
        <w:pStyle w:val="BodyText"/>
      </w:pPr>
      <w:r>
        <w:t xml:space="preserve">Belgium Brussels reflect the broader tensions between national sovereignty and international cooperation. As Belgium continues to play a central role in European governance, the judiciary remains the stabilizing force that ensures justice is administered fairly, efficiently, and within the bounds of democratic principles. This document serves as a testament to the critical importance of supporting judicial officers in their mandate to uphold justice in one of Europe’s most dynamic capitals.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Judiciary in Belgium Brussels</dc:title>
  <dc:creator/>
  <dc:language>en</dc:language>
  <cp:keywords/>
  <dcterms:created xsi:type="dcterms:W3CDTF">2026-07-29T07:08:54Z</dcterms:created>
  <dcterms:modified xsi:type="dcterms:W3CDTF">2026-07-29T07:08:54Z</dcterms:modified>
</cp:coreProperties>
</file>

<file path=docProps/custom.xml><?xml version="1.0" encoding="utf-8"?>
<Properties xmlns="http://schemas.openxmlformats.org/officeDocument/2006/custom-properties" xmlns:vt="http://schemas.openxmlformats.org/officeDocument/2006/docPropsVTypes"/>
</file>