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Canada</w:t>
      </w:r>
      <w:r>
        <w:t xml:space="preserve"> </w:t>
      </w:r>
      <w:r>
        <w:t xml:space="preserve">Montreal</w:t>
      </w:r>
    </w:p>
    <w:bookmarkStart w:id="32" w:name="X0e76a538eef070074074647a0aef44aa9c81ed6"/>
    <w:p>
      <w:pPr>
        <w:pStyle w:val="Heading1"/>
      </w:pPr>
      <w:r>
        <w:t xml:space="preserve">Case Study: Judicial Integrity and Bilingualism in the Quebec System – The Role of a Judge in Canada Montreal</w:t>
      </w:r>
    </w:p>
    <w:p>
      <w:pPr>
        <w:pStyle w:val="FirstParagraph"/>
      </w:pPr>
      <w:r>
        <w:rPr>
          <w:bCs/>
          <w:b/>
        </w:rPr>
        <w:t xml:space="preserve">Date:</w:t>
      </w:r>
    </w:p>
    <w:p>
      <w:pPr>
        <w:pStyle w:val="BodyText"/>
      </w:pPr>
      <w:r>
        <w:rPr>
          <w:bCs/>
          <w:b/>
        </w:rPr>
        <w:t xml:space="preserve">Subject:</w:t>
      </w:r>
      <w:r>
        <w:t xml:space="preserve">An analysis of judicial conduct, bilingual requirements, and cultural competency within the court system of Canada Montreal.</w:t>
      </w:r>
    </w:p>
    <w:bookmarkStart w:id="20" w:name="introduction"/>
    <w:p>
      <w:pPr>
        <w:pStyle w:val="Heading2"/>
      </w:pPr>
      <w:r>
        <w:t xml:space="preserve">1. Introduction</w:t>
      </w:r>
    </w:p>
    <w:p>
      <w:pPr>
        <w:pStyle w:val="FirstParagraph"/>
      </w:pPr>
      <w:r>
        <w:t xml:space="preserve">In the complex legal landscape of North America, few jurisdictions present as unique a challenge and opportunity for judicial officers as</w:t>
      </w:r>
      <w:r>
        <w:t xml:space="preserve"> </w:t>
      </w:r>
      <w:r>
        <w:rPr>
          <w:bCs/>
          <w:b/>
        </w:rPr>
        <w:t xml:space="preserve">Canada Montreal</w:t>
      </w:r>
      <w:r>
        <w:t xml:space="preserve">. Located in the province of Quebec, this city serves as a microcosm of Canadian federalism, where civil law traditions intersect with common law principles at the federal level. This case study examines the multifaceted role of a</w:t>
      </w:r>
      <w:r>
        <w:t xml:space="preserve"> </w:t>
      </w:r>
      <w:r>
        <w:rPr>
          <w:bCs/>
          <w:b/>
        </w:rPr>
        <w:t xml:space="preserve">Judge</w:t>
      </w:r>
      <w:r>
        <w:t xml:space="preserve"> </w:t>
      </w:r>
      <w:r>
        <w:t xml:space="preserve">operating within this specific jurisdiction. It explores how judicial officers navigate the dual obligations of statutory interpretation and community representation, particularly focusing on the critical demands of bilingualism and cultural sensitivity that define judicial service in</w:t>
      </w:r>
      <w:r>
        <w:t xml:space="preserve"> </w:t>
      </w:r>
      <w:r>
        <w:rPr>
          <w:bCs/>
          <w:b/>
        </w:rPr>
        <w:t xml:space="preserve">Canada Montreal</w:t>
      </w:r>
      <w:r>
        <w:t xml:space="preserve">.</w:t>
      </w:r>
    </w:p>
    <w:p>
      <w:pPr>
        <w:pStyle w:val="BodyText"/>
      </w:pPr>
      <w:r>
        <w:t xml:space="preserve">The purpose of this document is to provide a comprehensive overview of how a</w:t>
      </w:r>
      <w:r>
        <w:t xml:space="preserve"> </w:t>
      </w:r>
      <w:r>
        <w:rPr>
          <w:bCs/>
          <w:b/>
        </w:rPr>
        <w:t xml:space="preserve">Judge</w:t>
      </w:r>
      <w:r>
        <w:t xml:space="preserve"> </w:t>
      </w:r>
      <w:r>
        <w:t xml:space="preserve">functions within the Quebec court system. Unlike other regions in Canada, where common law predominates, Quebec’s private law is derived from the Civil Code. However, public law remains rooted in common law traditions due to federal jurisdiction. A</w:t>
      </w:r>
      <w:r>
        <w:t xml:space="preserve"> </w:t>
      </w:r>
      <w:r>
        <w:rPr>
          <w:bCs/>
          <w:b/>
        </w:rPr>
        <w:t xml:space="preserve">Judge</w:t>
      </w:r>
      <w:r>
        <w:t xml:space="preserve"> </w:t>
      </w:r>
      <w:r>
        <w:t xml:space="preserve">in</w:t>
      </w:r>
      <w:r>
        <w:t xml:space="preserve"> </w:t>
      </w:r>
      <w:r>
        <w:rPr>
          <w:bCs/>
          <w:b/>
        </w:rPr>
        <w:t xml:space="preserve">Canada Montreal</w:t>
      </w:r>
      <w:r>
        <w:t xml:space="preserve"> </w:t>
      </w:r>
      <w:r>
        <w:t xml:space="preserve">must therefore possess a specialized understanding of these divergent legal histories while maintaining strict impartiality and adherence to the rule of law.</w:t>
      </w:r>
    </w:p>
    <w:bookmarkEnd w:id="20"/>
    <w:bookmarkStart w:id="23" w:name="Xa403dc2a248c0155a9a1e25507eb15f17658cc5"/>
    <w:p>
      <w:pPr>
        <w:pStyle w:val="Heading2"/>
      </w:pPr>
      <w:r>
        <w:t xml:space="preserve">2. The Bilingual Imperative in Quebec Justice</w:t>
      </w:r>
    </w:p>
    <w:p>
      <w:pPr>
        <w:pStyle w:val="FirstParagraph"/>
      </w:pPr>
      <w:r>
        <w:t xml:space="preserve">The most distinguishing feature of practicing law as a</w:t>
      </w:r>
      <w:r>
        <w:t xml:space="preserve"> </w:t>
      </w:r>
      <w:r>
        <w:rPr>
          <w:bCs/>
          <w:b/>
        </w:rPr>
        <w:t xml:space="preserve">Judge</w:t>
      </w:r>
      <w:r>
        <w:t xml:space="preserve"> </w:t>
      </w:r>
      <w:r>
        <w:t xml:space="preserve">in</w:t>
      </w:r>
      <w:r>
        <w:t xml:space="preserve"> </w:t>
      </w:r>
      <w:r>
        <w:rPr>
          <w:bCs/>
          <w:b/>
        </w:rPr>
        <w:t xml:space="preserve">Canada MontrealJudge</w:t>
      </w:r>
      <w:r>
        <w:t xml:space="preserve"> </w:t>
      </w:r>
      <w:r>
        <w:t xml:space="preserve">sitting in courts within</w:t>
      </w:r>
    </w:p>
    <w:p>
      <w:pPr>
        <w:pStyle w:val="BodyText"/>
      </w:pPr>
      <w:r>
        <w:t xml:space="preserve">Canada Montreal, this requirement is not merely administrative; it is foundational to fair trial rights.</w:t>
      </w:r>
    </w:p>
    <w:bookmarkStart w:id="21" w:name="operational-bilingualism"/>
    <w:p>
      <w:pPr>
        <w:pStyle w:val="Heading3"/>
      </w:pPr>
      <w:r>
        <w:t xml:space="preserve">2.1 Operational Bilingualism</w:t>
      </w:r>
    </w:p>
    <w:p>
      <w:pPr>
        <w:pStyle w:val="FirstParagraph"/>
      </w:pPr>
      <w:r>
        <w:t xml:space="preserve">A</w:t>
      </w:r>
      <w:r>
        <w:t xml:space="preserve"> </w:t>
      </w:r>
      <w:r>
        <w:rPr>
          <w:bCs/>
          <w:b/>
        </w:rPr>
        <w:t xml:space="preserve">Judge</w:t>
      </w:r>
    </w:p>
    <w:p>
      <w:pPr>
        <w:pStyle w:val="BodyText"/>
      </w:pPr>
      <w:r>
        <w:t xml:space="preserve">in this region must be fully proficient in both official languages. This proficiency extends beyond casual conversation to include the mastery of precise legal terminology in both French and English. When presiding over a case, a</w:t>
      </w:r>
      <w:r>
        <w:t xml:space="preserve"> </w:t>
      </w:r>
      <w:r>
        <w:rPr>
          <w:bCs/>
          <w:b/>
        </w:rPr>
        <w:t xml:space="preserve">Judge</w:t>
      </w:r>
      <w:r>
        <w:t xml:space="preserve"> </w:t>
      </w:r>
      <w:r>
        <w:t xml:space="preserve">may hear arguments, witness testimonies, or written submissions in either language. The ability to seamlessly switch between these linguistic frameworks ensures that no party is disadvantaged by their primary language.</w:t>
      </w:r>
    </w:p>
    <w:p>
      <w:pPr>
        <w:pStyle w:val="BodyText"/>
      </w:pPr>
      <w:r>
        <w:t xml:space="preserve">In</w:t>
      </w:r>
    </w:p>
    <w:p>
      <w:pPr>
        <w:pStyle w:val="BodyText"/>
      </w:pPr>
      <w:r>
        <w:t xml:space="preserve">Canada Montreal, the demographic reality further complicates this requirement. While French is the official language of Quebec and widely spoken, English remains prevalent, particularly in corporate legal sectors and among long-standing anglophone communities. A</w:t>
      </w:r>
      <w:r>
        <w:t xml:space="preserve"> </w:t>
      </w:r>
      <w:r>
        <w:rPr>
          <w:bCs/>
          <w:b/>
        </w:rPr>
        <w:t xml:space="preserve">Judge</w:t>
      </w:r>
      <w:r>
        <w:t xml:space="preserve"> </w:t>
      </w:r>
      <w:r>
        <w:t xml:space="preserve">must recognize that language barriers can impede justice if not properly managed through interpreters or bilingual judicial reasoning.</w:t>
      </w:r>
    </w:p>
    <w:bookmarkEnd w:id="21"/>
    <w:bookmarkStart w:id="22" w:name="judicial-reasoning-in-two-languages"/>
    <w:p>
      <w:pPr>
        <w:pStyle w:val="Heading3"/>
      </w:pPr>
      <w:r>
        <w:t xml:space="preserve">2.2 Judicial Reasoning in Two Languages</w:t>
      </w:r>
    </w:p>
    <w:p>
      <w:pPr>
        <w:pStyle w:val="FirstParagraph"/>
      </w:pPr>
      <w:r>
        <w:t xml:space="preserve">Rulings delivered by a</w:t>
      </w:r>
      <w:r>
        <w:t xml:space="preserve"> </w:t>
      </w:r>
      <w:r>
        <w:rPr>
          <w:bCs/>
          <w:b/>
        </w:rPr>
        <w:t xml:space="preserve">Judge</w:t>
      </w:r>
    </w:p>
    <w:p>
      <w:pPr>
        <w:pStyle w:val="BodyText"/>
      </w:pPr>
      <w:r>
        <w:t xml:space="preserve">in</w:t>
      </w:r>
      <w:r>
        <w:t xml:space="preserve"> </w:t>
      </w:r>
      <w:r>
        <w:rPr>
          <w:bCs/>
          <w:b/>
        </w:rPr>
        <w:t xml:space="preserve">Canada MontrealJudge</w:t>
      </w:r>
      <w:r>
        <w:t xml:space="preserve"> </w:t>
      </w:r>
      <w:r>
        <w:t xml:space="preserve">must ensure that the final decision is legally sound and linguistically accurate in both official languages to withstand potential appeals at the federal level.</w:t>
      </w:r>
    </w:p>
    <w:bookmarkEnd w:id="22"/>
    <w:bookmarkEnd w:id="23"/>
    <w:bookmarkStart w:id="26" w:name="cultural-competency-and-community-trust"/>
    <w:p>
      <w:pPr>
        <w:pStyle w:val="Heading2"/>
      </w:pPr>
      <w:r>
        <w:t xml:space="preserve">3. Cultural Competency and Community Trust</w:t>
      </w:r>
    </w:p>
    <w:p>
      <w:pPr>
        <w:pStyle w:val="FirstParagraph"/>
      </w:pPr>
      <w:r>
        <w:t xml:space="preserve">Beyond linguistic skills, a</w:t>
      </w:r>
      <w:r>
        <w:t xml:space="preserve"> </w:t>
      </w:r>
      <w:r>
        <w:rPr>
          <w:bCs/>
          <w:b/>
        </w:rPr>
        <w:t xml:space="preserve">Judge</w:t>
      </w:r>
    </w:p>
    <w:p>
      <w:pPr>
        <w:pStyle w:val="BodyText"/>
      </w:pPr>
      <w:r>
        <w:t xml:space="preserve">in</w:t>
      </w:r>
      <w:r>
        <w:t xml:space="preserve"> </w:t>
      </w:r>
      <w:r>
        <w:rPr>
          <w:bCs/>
          <w:b/>
        </w:rPr>
        <w:t xml:space="preserve">Canada MontrealJudge</w:t>
      </w:r>
      <w:r>
        <w:t xml:space="preserve"> </w:t>
      </w:r>
      <w:r>
        <w:t xml:space="preserve">must navigate these diverse cultural backgrounds while upholding universal legal standards.</w:t>
      </w:r>
    </w:p>
    <w:bookmarkStart w:id="24" w:name="navigating-cultural-sensitivities"/>
    <w:p>
      <w:pPr>
        <w:pStyle w:val="Heading3"/>
      </w:pPr>
      <w:r>
        <w:t xml:space="preserve">3.1 Navigating Cultural Sensitivities</w:t>
      </w:r>
    </w:p>
    <w:p>
      <w:pPr>
        <w:pStyle w:val="FirstParagraph"/>
      </w:pPr>
      <w:r>
        <w:t xml:space="preserve">In family law matters, for instance, a</w:t>
      </w:r>
    </w:p>
    <w:p>
      <w:pPr>
        <w:pStyle w:val="BodyText"/>
      </w:pPr>
      <w:r>
        <w:t xml:space="preserve">Judge</w:t>
      </w:r>
    </w:p>
    <w:p>
      <w:pPr>
        <w:pStyle w:val="BodyText"/>
      </w:pPr>
      <w:r>
        <w:t xml:space="preserve">may encounter disputes involving varying cultural norms regarding marriage, divorce, or child custody. A competent</w:t>
      </w:r>
      <w:r>
        <w:t xml:space="preserve"> </w:t>
      </w:r>
      <w:r>
        <w:rPr>
          <w:bCs/>
          <w:b/>
        </w:rPr>
        <w:t xml:space="preserve">Judge</w:t>
      </w:r>
      <w:r>
        <w:t xml:space="preserve"> </w:t>
      </w:r>
      <w:r>
        <w:t xml:space="preserve">in</w:t>
      </w:r>
    </w:p>
    <w:p>
      <w:pPr>
        <w:pStyle w:val="BodyText"/>
      </w:pPr>
      <w:r>
        <w:t xml:space="preserve">Canada Montreal</w:t>
      </w:r>
    </w:p>
    <w:p>
      <w:pPr>
        <w:pStyle w:val="BodyText"/>
      </w:pPr>
      <w:r>
        <w:t xml:space="preserve">must apply the law objectively while respecting the cultural context of the parties involved. This does not mean compromising legal principles but rather ensuring that communication is clear and that procedural fairness is perceived as legitimate by individuals from all cultural backgrounds.</w:t>
      </w:r>
    </w:p>
    <w:bookmarkEnd w:id="24"/>
    <w:bookmarkStart w:id="25" w:name="restorative-justice-initiatives"/>
    <w:p>
      <w:pPr>
        <w:pStyle w:val="Heading3"/>
      </w:pPr>
      <w:r>
        <w:t xml:space="preserve">3.2 Restorative Justice Initiatives</w:t>
      </w:r>
    </w:p>
    <w:p>
      <w:pPr>
        <w:pStyle w:val="FirstParagraph"/>
      </w:pPr>
      <w:r>
        <w:t xml:space="preserve">In recent years, courts in</w:t>
      </w:r>
    </w:p>
    <w:p>
      <w:pPr>
        <w:pStyle w:val="BodyText"/>
      </w:pPr>
      <w:r>
        <w:t xml:space="preserve">Canada Montreal</w:t>
      </w:r>
    </w:p>
    <w:p>
      <w:pPr>
        <w:pStyle w:val="BodyText"/>
      </w:pPr>
      <w:r>
        <w:t xml:space="preserve">have seen an increase in restorative justice programs, particularly for youth offenders and minor non-violent crimes. A</w:t>
      </w:r>
    </w:p>
    <w:p>
      <w:pPr>
        <w:pStyle w:val="BodyText"/>
      </w:pPr>
      <w:r>
        <w:t xml:space="preserve">JudgeJudge contributes to social cohesion and reduces recidivism rates, aligning judicial outcomes with community well-being.</w:t>
      </w:r>
    </w:p>
    <w:bookmarkEnd w:id="25"/>
    <w:bookmarkEnd w:id="26"/>
    <w:bookmarkStart w:id="28" w:name="X7006f9f17d486f21a388b524fd46286986051f1"/>
    <w:p>
      <w:pPr>
        <w:pStyle w:val="Heading2"/>
      </w:pPr>
      <w:r>
        <w:t xml:space="preserve">4. Ethical Considerations and Judicial Independence</w:t>
      </w:r>
    </w:p>
    <w:p>
      <w:pPr>
        <w:pStyle w:val="FirstParagraph"/>
      </w:pPr>
      <w:r>
        <w:t xml:space="preserve">The cornerstone of the judiciary is independence. In</w:t>
      </w:r>
      <w:r>
        <w:t xml:space="preserve"> </w:t>
      </w:r>
      <w:r>
        <w:rPr>
          <w:bCs/>
          <w:b/>
        </w:rPr>
        <w:t xml:space="preserve">Canada Montreal</w:t>
      </w:r>
      <w:r>
        <w:rPr>
          <w:bCs/>
          <w:b/>
        </w:rPr>
        <w:t xml:space="preserve">, a</w:t>
      </w:r>
      <w:r>
        <w:rPr>
          <w:bCs/>
          <w:b/>
        </w:rPr>
        <w:t xml:space="preserve"> </w:t>
      </w:r>
      <w:r>
        <w:rPr>
          <w:bCs/>
          <w:b/>
          <w:bCs/>
          <w:b/>
        </w:rPr>
        <w:t xml:space="preserve">Judge</w:t>
      </w:r>
      <w:r>
        <w:rPr>
          <w:bCs/>
          <w:b/>
        </w:rPr>
        <w:t xml:space="preserve"> </w:t>
      </w:r>
    </w:p>
    <w:bookmarkStart w:id="27" w:name="impartiality-in-a-multicultural-context"/>
    <w:p>
      <w:pPr>
        <w:pStyle w:val="Heading3"/>
      </w:pPr>
      <w:r>
        <w:t xml:space="preserve">4.1 Impartiality in a Multicultural Context</w:t>
      </w:r>
    </w:p>
    <w:p>
      <w:pPr>
        <w:pStyle w:val="FirstParagraph"/>
      </w:pPr>
      <w:r>
        <w:t xml:space="preserve">A</w:t>
      </w:r>
    </w:p>
    <w:p>
      <w:pPr>
        <w:pStyle w:val="BodyText"/>
      </w:pPr>
      <w:r>
        <w:t xml:space="preserve">Judge</w:t>
      </w:r>
    </w:p>
    <w:p>
      <w:pPr>
        <w:pStyle w:val="BodyText"/>
      </w:pPr>
      <w:r>
        <w:t xml:space="preserve">must guard against implicit biases that may arise from personal cultural or religious beliefs. In cases involving religious symbols, dress codes (such as the niqab), or indigenous rights, a</w:t>
      </w:r>
    </w:p>
    <w:p>
      <w:pPr>
        <w:pStyle w:val="BodyText"/>
      </w:pPr>
      <w:r>
        <w:t xml:space="preserve">JudgeCanada Montreal</w:t>
      </w:r>
    </w:p>
    <w:p>
      <w:pPr>
        <w:pStyle w:val="BodyText"/>
      </w:pPr>
      <w:r>
        <w:t xml:space="preserve">must rely strictly on constitutional interpretation and precedents set by higher courts. The perception of bias can undermine public confidence in the judiciary; therefore, transparency and consistency in decision-making are paramount.</w:t>
      </w:r>
    </w:p>
    <w:bookmarkEnd w:id="27"/>
    <w:bookmarkEnd w:id="28"/>
    <w:bookmarkStart w:id="29" w:name="challenges-facing-the-modern-judiciary"/>
    <w:p>
      <w:pPr>
        <w:pStyle w:val="Heading2"/>
      </w:pPr>
      <w:r>
        <w:t xml:space="preserve">5. Challenges Facing the Modern Judiciary</w:t>
      </w:r>
    </w:p>
    <w:p>
      <w:pPr>
        <w:pStyle w:val="FirstParagraph"/>
      </w:pPr>
      <w:r>
        <w:t xml:space="preserve">The role of a</w:t>
      </w:r>
      <w:r>
        <w:t xml:space="preserve"> </w:t>
      </w:r>
      <w:r>
        <w:rPr>
          <w:bCs/>
          <w:b/>
        </w:rPr>
        <w:t xml:space="preserve">Judge</w:t>
      </w:r>
      <w:r>
        <w:rPr>
          <w:bCs/>
          <w:b/>
        </w:rPr>
        <w:t xml:space="preserve"> </w:t>
      </w:r>
      <w:r>
        <w:rPr>
          <w:bCs/>
          <w:b/>
        </w:rPr>
        <w:t xml:space="preserve">in</w:t>
      </w:r>
      <w:r>
        <w:rPr>
          <w:bCs/>
          <w:b/>
        </w:rPr>
        <w:t xml:space="preserve"> </w:t>
      </w:r>
      <w:r>
        <w:rPr>
          <w:bCs/>
          <w:b/>
          <w:bCs/>
          <w:b/>
        </w:rPr>
        <w:t xml:space="preserve">Canada Montreal</w:t>
      </w:r>
      <w:r>
        <w:rPr>
          <w:bCs/>
          <w:b/>
          <w:bCs/>
          <w:b/>
        </w:rPr>
        <w:t xml:space="preserve"> </w:t>
      </w:r>
      <w:r>
        <w:rPr>
          <w:bCs/>
          <w:b/>
          <w:bCs/>
          <w:b/>
        </w:rPr>
        <w:t xml:space="preserve">is not without its challenges. Case backlogs, particularly post-pandemic, have placed immense strain on judicial resources. Courtrooms are operating with increased wait times, requiring a</w:t>
      </w:r>
      <w:r>
        <w:rPr>
          <w:bCs/>
          <w:b/>
          <w:bCs/>
          <w:b/>
        </w:rPr>
        <w:t xml:space="preserve"> </w:t>
      </w:r>
      <w:r>
        <w:rPr>
          <w:bCs/>
          <w:b/>
          <w:bCs/>
          <w:b/>
          <w:bCs/>
          <w:b/>
        </w:rPr>
        <w:t xml:space="preserve">Judge</w:t>
      </w:r>
      <w:r>
        <w:rPr>
          <w:bCs/>
          <w:b/>
          <w:bCs/>
          <w:b/>
        </w:rPr>
        <w:t xml:space="preserve"> </w:t>
      </w:r>
    </w:p>
    <w:p>
      <w:pPr>
        <w:pStyle w:val="BodyText"/>
      </w:pPr>
      <w:r>
        <w:t xml:space="preserve">Furthermore, technological adaptation has become essential. Virtual hearings and digital evidence submission have transformed courtroom procedures. A modern</w:t>
      </w:r>
    </w:p>
    <w:p>
      <w:pPr>
        <w:pStyle w:val="BodyText"/>
      </w:pPr>
      <w:r>
        <w:t xml:space="preserve">Judge</w:t>
      </w:r>
    </w:p>
    <w:p>
      <w:pPr>
        <w:pStyle w:val="BodyText"/>
      </w:pPr>
      <w:r>
        <w:t xml:space="preserve">in</w:t>
      </w:r>
    </w:p>
    <w:p>
      <w:pPr>
        <w:pStyle w:val="BodyText"/>
      </w:pPr>
      <w:r>
        <w:t xml:space="preserve">Canada Montreal</w:t>
      </w:r>
    </w:p>
    <w:p>
      <w:pPr>
        <w:pStyle w:val="BodyText"/>
      </w:pPr>
      <w:r>
        <w:t xml:space="preserve">must be technologically adept to ensure that virtual proceedings are conducted with the same dignity and procedural integrity as in-person trials.</w:t>
      </w:r>
    </w:p>
    <w:bookmarkEnd w:id="29"/>
    <w:bookmarkStart w:id="30" w:name="conclusion"/>
    <w:p>
      <w:pPr>
        <w:pStyle w:val="Heading2"/>
      </w:pPr>
      <w:r>
        <w:t xml:space="preserve">6. Conclusion</w:t>
      </w:r>
    </w:p>
    <w:p>
      <w:pPr>
        <w:pStyle w:val="FirstParagraph"/>
      </w:pPr>
      <w:r>
        <w:t xml:space="preserve">This case study illustrates that being a</w:t>
      </w:r>
    </w:p>
    <w:p>
      <w:pPr>
        <w:pStyle w:val="BodyText"/>
      </w:pPr>
      <w:r>
        <w:t xml:space="preserve">Judge</w:t>
      </w:r>
    </w:p>
    <w:p>
      <w:pPr>
        <w:pStyle w:val="BodyText"/>
      </w:pPr>
      <w:r>
        <w:t xml:space="preserve">in</w:t>
      </w:r>
    </w:p>
    <w:p>
      <w:pPr>
        <w:pStyle w:val="BodyText"/>
      </w:pPr>
      <w:r>
        <w:t xml:space="preserve">Canada Montreal</w:t>
      </w:r>
    </w:p>
    <w:p>
      <w:pPr>
        <w:pStyle w:val="BodyText"/>
      </w:pPr>
      <w:r>
        <w:t xml:space="preserve">is a role defined by complexity, responsibility, and service. It requires more than just legal expertise; it demands bilingual mastery, cultural intelligence, and unwavering ethical standards. As Canada continues to evolve socially and demographically, the</w:t>
      </w:r>
    </w:p>
    <w:p>
      <w:pPr>
        <w:pStyle w:val="BodyText"/>
      </w:pPr>
      <w:r>
        <w:t xml:space="preserve">Judge</w:t>
      </w:r>
    </w:p>
    <w:p>
      <w:pPr>
        <w:pStyle w:val="BodyText"/>
      </w:pPr>
      <w:r>
        <w:t xml:space="preserve">in</w:t>
      </w:r>
    </w:p>
    <w:p>
      <w:pPr>
        <w:pStyle w:val="BodyText"/>
      </w:pPr>
      <w:r>
        <w:t xml:space="preserve">Canada Montreal</w:t>
      </w:r>
    </w:p>
    <w:p>
      <w:pPr>
        <w:pStyle w:val="BodyText"/>
      </w:pPr>
      <w:r>
        <w:t xml:space="preserve">remains a crucial guardian of justice.</w:t>
      </w:r>
    </w:p>
    <w:p>
      <w:pPr>
        <w:pStyle w:val="BodyText"/>
      </w:pPr>
      <w:r>
        <w:t xml:space="preserve">The interplay between civil law heritage and common law practice creates a unique judicial environment that serves as a model for other bilingual jurisdictions. By upholding the principles of fairness, accessibility, and independence, the</w:t>
      </w:r>
    </w:p>
    <w:p>
      <w:pPr>
        <w:pStyle w:val="BodyText"/>
      </w:pPr>
      <w:r>
        <w:t xml:space="preserve">Judge</w:t>
      </w:r>
    </w:p>
    <w:p>
      <w:pPr>
        <w:pStyle w:val="BodyText"/>
      </w:pPr>
      <w:r>
        <w:t xml:space="preserve">ensures that the legal system in</w:t>
      </w:r>
    </w:p>
    <w:p>
      <w:pPr>
        <w:pStyle w:val="BodyText"/>
      </w:pPr>
      <w:r>
        <w:t xml:space="preserve">Canada Montreal</w:t>
      </w:r>
    </w:p>
    <w:p>
      <w:pPr>
        <w:pStyle w:val="BodyText"/>
      </w:pPr>
      <w:r>
        <w:t xml:space="preserve">remains robust, inclusive, and trusted by all citizens. Future developments in judicial education and technology will continue to shape this role, but the core mandate of delivering impartial justice will remain unchanged.</w:t>
      </w:r>
    </w:p>
    <w:bookmarkEnd w:id="30"/>
    <w:bookmarkStart w:id="31" w:name="references-and-further-reading"/>
    <w:p>
      <w:pPr>
        <w:pStyle w:val="Heading2"/>
      </w:pPr>
      <w:r>
        <w:t xml:space="preserve">7. References and Further Reading</w:t>
      </w:r>
    </w:p>
    <w:p>
      <w:pPr>
        <w:numPr>
          <w:ilvl w:val="0"/>
          <w:numId w:val="1001"/>
        </w:numPr>
        <w:pStyle w:val="Compact"/>
      </w:pPr>
      <w:r>
        <w:rPr>
          <w:bCs/>
          <w:b/>
        </w:rPr>
        <w:t xml:space="preserve">Judicial Council of Canada: Guidelines for Judicial Conduct and Ethics.</w:t>
      </w:r>
    </w:p>
    <w:p>
      <w:pPr>
        <w:numPr>
          <w:ilvl w:val="0"/>
          <w:numId w:val="1001"/>
        </w:numPr>
        <w:pStyle w:val="Compact"/>
      </w:pPr>
      <w:r>
        <w:rPr>
          <w:bCs/>
          <w:b/>
        </w:rPr>
        <w:t xml:space="preserve">Civil Code of Quebec: Statutory Framework for Private Law in Quebec.</w:t>
      </w:r>
    </w:p>
    <w:p>
      <w:pPr>
        <w:numPr>
          <w:ilvl w:val="0"/>
          <w:numId w:val="1001"/>
        </w:numPr>
        <w:pStyle w:val="Compact"/>
      </w:pPr>
      <w:r>
        <w:t xml:space="preserve">Royal Commission on Aboriginal Peoples: Implications for Indigenous Justice in Montreal.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Judge in Canada Montreal</dc:title>
  <dc:creator/>
  <dc:language>en</dc:language>
  <cp:keywords/>
  <dcterms:created xsi:type="dcterms:W3CDTF">2026-07-29T17:26:47Z</dcterms:created>
  <dcterms:modified xsi:type="dcterms:W3CDTF">2026-07-29T17:26:47Z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