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Iran</w:t>
      </w:r>
      <w:r>
        <w:t xml:space="preserve"> </w:t>
      </w:r>
      <w:r>
        <w:t xml:space="preserve">Tehran</w:t>
      </w:r>
    </w:p>
    <w:bookmarkStart w:id="20" w:name="Xebd9eb8c4eaf3074a0dc0f715eeddd26f0188fe"/>
    <w:p>
      <w:pPr>
        <w:pStyle w:val="Heading1"/>
      </w:pPr>
      <w:r>
        <w:t xml:space="preserve">The Judiciary of the Islamic Republic: A Case Study on the Role, Structure, and Challenges of the Judge in Iran Tehran</w:t>
      </w:r>
    </w:p>
    <w:bookmarkEnd w:id="20"/>
    <w:bookmarkStart w:id="21" w:name="introduction"/>
    <w:p>
      <w:pPr>
        <w:pStyle w:val="Heading2"/>
      </w:pPr>
      <w:r>
        <w:t xml:space="preserve">Introduction</w:t>
      </w:r>
    </w:p>
    <w:p>
      <w:pPr>
        <w:pStyle w:val="FirstParagraph"/>
      </w:pPr>
      <w:r>
        <w:t xml:space="preserve">The judicial system in Iran is one of the most complex and distinct legal frameworks in the modern world. At its core lies the figure of the Judge, a central pillar responsible for interpreting laws that are derived from a unique synthesis of civil law traditions, Islamic jurisprudence (Sharia), and statutory regulations. This case study explores the multifaceted role of the Judge within Iran Tehran, analyzing how this institution functions in one of the most politically charged capitals in West Asia. The judiciary is not merely an arbiter of disputes; it is a guardian of the state’s ideological boundaries, making its operations critical to understanding governance in</w:t>
      </w:r>
      <w:r>
        <w:t xml:space="preserve"> </w:t>
      </w:r>
      <w:r>
        <w:rPr>
          <w:bCs/>
          <w:b/>
        </w:rPr>
        <w:t xml:space="preserve">Iran Tehran</w:t>
      </w:r>
      <w:r>
        <w:t xml:space="preserve">. As social dynamics shift and international pressures mount, the position and power of every Judge become subjects of intense scrutiny both domestically and internationally.</w:t>
      </w:r>
    </w:p>
    <w:bookmarkEnd w:id="21"/>
    <w:bookmarkStart w:id="23" w:name="historical_context"/>
    <w:bookmarkStart w:id="22" w:name="X3e1a8b37c395a7d7486d7c6bb354c683b6b375b"/>
    <w:p>
      <w:pPr>
        <w:pStyle w:val="Heading2"/>
      </w:pPr>
      <w:r>
        <w:t xml:space="preserve">Historical Context: The Post-1979 Transformation</w:t>
      </w:r>
    </w:p>
    <w:p>
      <w:pPr>
        <w:pStyle w:val="FirstParagraph"/>
      </w:pPr>
      <w:r>
        <w:t xml:space="preserve">To understand the contemporary Judge in Iran, one must look back to the Islamic Revolution of 1979. Prior to this upheaval, Iran’s legal system was heavily influenced by French civil law and secular principles. The revolution dismantled much of this structure, replacing it with a system rooted in Twelver Shia Islam. Consequently, the modern Judge is no longer just a legal technician but often serves as an interpreter of divine will as articulated through human legislation. In</w:t>
      </w:r>
      <w:r>
        <w:t xml:space="preserve"> </w:t>
      </w:r>
      <w:r>
        <w:rPr>
          <w:bCs/>
          <w:b/>
        </w:rPr>
        <w:t xml:space="preserve">Iran Tehran</w:t>
      </w:r>
      <w:r>
        <w:t xml:space="preserve">, the capital city became the epicenter of this transformation. The central courts located here set precedents that ripple across the entire country, influencing how rural and provincial courts interpret their duties. The establishment of a new Supreme Court and the strengthening of judicial oversight mechanisms meant that Judges in</w:t>
      </w:r>
      <w:r>
        <w:t xml:space="preserve"> </w:t>
      </w:r>
      <w:r>
        <w:rPr>
          <w:bCs/>
          <w:b/>
        </w:rPr>
        <w:t xml:space="preserve">Iran Tehran</w:t>
      </w:r>
      <w:r>
        <w:t xml:space="preserve"> </w:t>
      </w:r>
      <w:r>
        <w:t xml:space="preserve">were tasked with ensuring that all legislation conformed to Islamic principles.</w:t>
      </w:r>
    </w:p>
    <w:bookmarkEnd w:id="22"/>
    <w:bookmarkEnd w:id="23"/>
    <w:bookmarkStart w:id="25" w:name="appointment_and_structure"/>
    <w:bookmarkStart w:id="24" w:name="X8e5a03e153091c86b02b650219244cd12a48310"/>
    <w:p>
      <w:pPr>
        <w:pStyle w:val="Heading2"/>
      </w:pPr>
      <w:r>
        <w:t xml:space="preserve">The Appointment Process and Judicial Hierarchy</w:t>
      </w:r>
    </w:p>
    <w:p>
      <w:pPr>
        <w:pStyle w:val="FirstParagraph"/>
      </w:pPr>
      <w:r>
        <w:t xml:space="preserve">The appointment of a Judge in Iran is not an independent bureaucratic process but one deeply intertwined with political and religious oversight. According to the Iranian Constitution, the head of the judiciary (the Chief Justice) is appointed directly by the Supreme Leader. The Chief Justice, in turn appoints Judges after rigorous vetting processes conducted by judicial councils. This structure ensures that Judges are ideologically aligned with the principles of Velayat-e Faqih (Guardianship of the Islamic Jurist).</w:t>
      </w:r>
    </w:p>
    <w:p>
      <w:pPr>
        <w:pStyle w:val="BodyText"/>
      </w:pPr>
      <w:r>
        <w:t xml:space="preserve">In</w:t>
      </w:r>
      <w:r>
        <w:t xml:space="preserve"> </w:t>
      </w:r>
      <w:r>
        <w:rPr>
          <w:bCs/>
          <w:b/>
        </w:rPr>
        <w:t xml:space="preserve">Iran Tehran</w:t>
      </w:r>
      <w:r>
        <w:t xml:space="preserve">, where the volume of cases is exponentially higher than in other provinces, only those deemed highly qualified in both Sharia law and civil codes are typically assigned to key positions. These include specialized courts for press offenses, cybercrime, and economic crimes—areas that have seen significant growth due to the city’s status as a media and commercial hub. The hierarchy includes Courts of First Instance, Appeals Courts, and the Supreme Court. Each level plays a crucial role in maintaining consistency in legal rulings across the nation.</w:t>
      </w:r>
    </w:p>
    <w:bookmarkEnd w:id="24"/>
    <w:bookmarkEnd w:id="25"/>
    <w:bookmarkStart w:id="27" w:name="specialized_courts"/>
    <w:bookmarkStart w:id="26" w:name="the-rise-of-specialized-courts"/>
    <w:p>
      <w:pPr>
        <w:pStyle w:val="Heading2"/>
      </w:pPr>
      <w:r>
        <w:t xml:space="preserve">The Rise of Specialized Courts</w:t>
      </w:r>
    </w:p>
    <w:p>
      <w:pPr>
        <w:pStyle w:val="FirstParagraph"/>
      </w:pPr>
      <w:r>
        <w:t xml:space="preserve">In recent decades, the number of specialized courts has increased dramatically. In</w:t>
      </w:r>
      <w:r>
        <w:t xml:space="preserve"> </w:t>
      </w:r>
      <w:r>
        <w:rPr>
          <w:bCs/>
          <w:b/>
        </w:rPr>
        <w:t xml:space="preserve">Iran Tehran</w:t>
      </w:r>
      <w:r>
        <w:t xml:space="preserve">, this trend is particularly visible. Traditional general jurisdiction courts have been supplemented by bodies such as the Revolutionary Courts and the Press Court. The Judge presiding over a Revolutionary Court holds significant power, often dealing with cases related to national security, espionage, or activities deemed harmful to public order.</w:t>
      </w:r>
    </w:p>
    <w:p>
      <w:pPr>
        <w:pStyle w:val="BodyText"/>
      </w:pPr>
      <w:r>
        <w:t xml:space="preserve">This specialization has led to debates regarding due process and fair trial standards. Critics argue that Judges in these specialized courts sometimes operate with limited transparency. However, supporters contend that such structures are necessary to protect the nation’s sovereignty and moral fabric from external cultural influences. The interplay between traditional judicial roles and these newer, more politically sensitive functions defines much of the current legal landscape in</w:t>
      </w:r>
      <w:r>
        <w:t xml:space="preserve"> </w:t>
      </w:r>
      <w:r>
        <w:rPr>
          <w:bCs/>
          <w:b/>
        </w:rPr>
        <w:t xml:space="preserve">Iran Tehran</w:t>
      </w:r>
      <w:r>
        <w:t xml:space="preserve">.</w:t>
      </w:r>
    </w:p>
    <w:bookmarkEnd w:id="26"/>
    <w:bookmarkEnd w:id="27"/>
    <w:bookmarkStart w:id="29" w:name="social_challenges"/>
    <w:bookmarkStart w:id="28" w:name="social-challenges-and-public-perception"/>
    <w:p>
      <w:pPr>
        <w:pStyle w:val="Heading2"/>
      </w:pPr>
      <w:r>
        <w:t xml:space="preserve">Social Challenges and Public Perception</w:t>
      </w:r>
    </w:p>
    <w:p>
      <w:pPr>
        <w:pStyle w:val="FirstParagraph"/>
      </w:pPr>
      <w:r>
        <w:t xml:space="preserve">The society of</w:t>
      </w:r>
      <w:r>
        <w:t xml:space="preserve"> </w:t>
      </w:r>
      <w:r>
        <w:rPr>
          <w:bCs/>
          <w:b/>
        </w:rPr>
        <w:t xml:space="preserve">Iran Tehran</w:t>
      </w:r>
      <w:r>
        <w:t xml:space="preserve"> </w:t>
      </w:r>
      <w:r>
        <w:t xml:space="preserve">is undergoing rapid modernization, particularly among its younger population. There is a growing gap between traditional legal interpretations held by many Judges and the evolving social norms of urban citizens. Issues such as women’s rights, freedom of expression, and drug-related offenses often highlight this divide.</w:t>
      </w:r>
    </w:p>
    <w:p>
      <w:pPr>
        <w:pStyle w:val="BodyText"/>
      </w:pPr>
      <w:r>
        <w:t xml:space="preserve">High-profile cases involving dissidents or artists frequently draw international attention, putting individual Judges in the spotlight. These situations test the capacity of the judiciary to balance ideological consistency with social acceptance. Furthermore, overcrowding in Tehran’s prisons has placed additional strain on judicial resources, forcing many Judges to handle cases more hastily than ideal for thorough legal review. The tension between upholding strict legal codes and responding to public demand for reform remains a central challenge.</w:t>
      </w:r>
    </w:p>
    <w:bookmarkEnd w:id="28"/>
    <w:bookmarkEnd w:id="29"/>
    <w:bookmarkStart w:id="32" w:name="technological_adaptation"/>
    <w:bookmarkStart w:id="31" w:name="X919fc71490794f02858f10f7e99d53faaecaf34"/>
    <w:p>
      <w:pPr>
        <w:pStyle w:val="Heading2"/>
      </w:pPr>
      <w:r>
        <w:t xml:space="preserve">Technological Adaptation and Digital Justice</w:t>
      </w:r>
    </w:p>
    <w:p>
      <w:pPr>
        <w:pStyle w:val="FirstParagraph"/>
      </w:pPr>
      <w:r>
        <w:t xml:space="preserve">In response to logistical challenges, the judiciary in</w:t>
      </w:r>
      <w:r>
        <w:t xml:space="preserve"> </w:t>
      </w:r>
      <w:r>
        <w:rPr>
          <w:bCs/>
          <w:b/>
        </w:rPr>
        <w:t xml:space="preserve">Iran Tehran</w:t>
      </w:r>
      <w:bookmarkStart w:id="30" w:name="ref1"/>
      <w:r>
        <w:t xml:space="preserve">[1]</w:t>
      </w:r>
      <w:bookmarkEnd w:id="30"/>
      <w:r>
        <w:t xml:space="preserve">, has increasingly turned to technology. Electronic filing systems, virtual hearings for minor infractions, and digital evidence management are becoming standard tools for Judges. This digital transformation aims to reduce backlog and improve access to justice. However, it also raises concerns about data privacy and the potential for surveillance within legal proceedings.</w:t>
      </w:r>
    </w:p>
    <w:p>
      <w:pPr>
        <w:pStyle w:val="BodyText"/>
      </w:pPr>
      <w:r>
        <w:t xml:space="preserve">Judges in Tehran now frequently deal with cybercrimes involving hacking, online fraud, and digital defamation. This requires a continuous learning curve for legal professionals who must stay updated on technological trends while maintaining their foundational knowledge of Sharia law. The integration of AI and data analytics is being explored to aid in sentencing guidelines and case prediction, marking a significant shift in how justice is administered.</w:t>
      </w:r>
    </w:p>
    <w:bookmarkEnd w:id="31"/>
    <w:bookmarkEnd w:id="32"/>
    <w:bookmarkStart w:id="35" w:name="international_relations"/>
    <w:bookmarkStart w:id="34" w:name="X4eac519e5ef088205b42bf2839febcf8d9dbae5"/>
    <w:p>
      <w:pPr>
        <w:pStyle w:val="Heading2"/>
      </w:pPr>
      <w:r>
        <w:t xml:space="preserve">The Judge as an Actor on the International Stage</w:t>
      </w:r>
    </w:p>
    <w:p>
      <w:pPr>
        <w:pStyle w:val="FirstParagraph"/>
      </w:pPr>
      <w:r>
        <w:t xml:space="preserve">The role of the Judge extends beyond domestic borders. In cases involving international sanctions, frozen assets, or cross-border disputes, Judges in</w:t>
      </w:r>
      <w:r>
        <w:t xml:space="preserve"> </w:t>
      </w:r>
      <w:r>
        <w:rPr>
          <w:bCs/>
          <w:b/>
        </w:rPr>
        <w:t xml:space="preserve">Iran Tehran</w:t>
      </w:r>
      <w:bookmarkStart w:id="33" w:name="ref1"/>
      <w:r>
        <w:t xml:space="preserve">[1]</w:t>
      </w:r>
      <w:bookmarkEnd w:id="33"/>
      <w:r>
        <w:t xml:space="preserve"> </w:t>
      </w:r>
      <w:r>
        <w:t xml:space="preserve">often face complex legal questions regarding jurisdiction and compliance with global standards. While Iran maintains its sovereignty over judicial matters, international criticism of human rights records frequently targets specific rulings made by domestic courts.</w:t>
      </w:r>
    </w:p>
    <w:p>
      <w:pPr>
        <w:pStyle w:val="BodyText"/>
      </w:pPr>
      <w:r>
        <w:t xml:space="preserve">This external pressure influences how Judges approach sensitive cases, particularly those involving dual nationals or entities linked to foreign governments. The need to project legitimacy while adhering to domestic laws creates a delicate balancing act for legal practitioners in the capital.</w:t>
      </w:r>
    </w:p>
    <w:bookmarkEnd w:id="34"/>
    <w:bookmarkEnd w:id="35"/>
    <w:bookmarkStart w:id="37" w:name="conclusion"/>
    <w:p>
      <w:pPr>
        <w:pStyle w:val="Heading2"/>
      </w:pPr>
      <w:r>
        <w:t xml:space="preserve">Conclusion</w:t>
      </w:r>
    </w:p>
    <w:p>
      <w:pPr>
        <w:pStyle w:val="FirstParagraph"/>
      </w:pPr>
      <w:r>
        <w:t xml:space="preserve">The case of the Judge in Iran Tehran reveals a system that is both resilient and evolving. The judiciary remains a cornerstone of the Islamic Republic, tasked with preserving its ideological foundations while managing the complexities of a modern urban society. From historical roots in post-revolutionary restructuring to current adaptations involving digital justice and specialized courts, the role continues to expand.</w:t>
      </w:r>
    </w:p>
    <w:p>
      <w:pPr>
        <w:pStyle w:val="BodyText"/>
      </w:pPr>
      <w:r>
        <w:t xml:space="preserve">As social pressures mount and international relations shift, Judges in</w:t>
      </w:r>
      <w:r>
        <w:t xml:space="preserve"> </w:t>
      </w:r>
      <w:r>
        <w:rPr>
          <w:bCs/>
          <w:b/>
        </w:rPr>
        <w:t xml:space="preserve">Iran Tehran</w:t>
      </w:r>
      <w:bookmarkStart w:id="36" w:name="ref1"/>
      <w:r>
        <w:t xml:space="preserve">[1]</w:t>
      </w:r>
      <w:bookmarkEnd w:id="36"/>
      <w:r>
        <w:t xml:space="preserve"> </w:t>
      </w:r>
      <w:r>
        <w:t xml:space="preserve">will likely face further challenges. Their ability to navigate these waters—balancing faith-based jurisprudence with contemporary legal expectations—will determine not only the effectiveness of the judicial system but also its stability within the broader political and social fabric of Iran.</w:t>
      </w:r>
    </w:p>
    <w:bookmarkEnd w:id="37"/>
    <w:bookmarkStart w:id="39" w:name="references"/>
    <w:p>
      <w:pPr>
        <w:pStyle w:val="Heading3"/>
      </w:pPr>
      <w:r>
        <w:t xml:space="preserve">References</w:t>
      </w:r>
    </w:p>
    <w:p>
      <w:pPr>
        <w:numPr>
          <w:ilvl w:val="0"/>
          <w:numId w:val="1001"/>
        </w:numPr>
        <w:pStyle w:val="Compact"/>
      </w:pPr>
      <w:bookmarkStart w:id="38" w:name="ref1"/>
      <w:r>
        <w:t xml:space="preserve">[1] Iranian Constitution, Articles 57-60 on the structure and appointment of judges.</w:t>
      </w:r>
      <w:bookmarkEnd w:id="38"/>
    </w:p>
    <w:p>
      <w:pPr>
        <w:numPr>
          <w:ilvl w:val="0"/>
          <w:numId w:val="1001"/>
        </w:numPr>
        <w:pStyle w:val="Compact"/>
      </w:pPr>
      <w:r>
        <w:t xml:space="preserve">[2] Amnesty International Reports on Judicial Fairness in Iran (Annual Reviews).</w:t>
      </w:r>
    </w:p>
    <w:p>
      <w:pPr>
        <w:numPr>
          <w:ilvl w:val="0"/>
          <w:numId w:val="1001"/>
        </w:numPr>
        <w:pStyle w:val="Compact"/>
      </w:pPr>
      <w:r>
        <w:t xml:space="preserve">[3] University of Tehran Faculty of Law Publications on Comparative Jurisprudence.</w:t>
      </w:r>
    </w:p>
    <w:bookmarkEnd w:id="39"/>
    <w:p>
      <w:pPr>
        <w:pStyle w:val="FirstParagraph"/>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Iran Tehran</dc:title>
  <dc:creator/>
  <dc:language>en</dc:language>
  <cp:keywords/>
  <dcterms:created xsi:type="dcterms:W3CDTF">2026-07-29T07:30:16Z</dcterms:created>
  <dcterms:modified xsi:type="dcterms:W3CDTF">2026-07-29T07:30:16Z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