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Advanced</w:t>
      </w:r>
      <w:r>
        <w:t xml:space="preserve"> </w:t>
      </w:r>
      <w:r>
        <w:t xml:space="preserve">Judicial</w:t>
      </w:r>
      <w:r>
        <w:t xml:space="preserve"> </w:t>
      </w:r>
      <w:r>
        <w:t xml:space="preserve">Technology</w:t>
      </w:r>
      <w:r>
        <w:t xml:space="preserve"> </w:t>
      </w:r>
      <w:r>
        <w:t xml:space="preserve">in</w:t>
      </w:r>
      <w:r>
        <w:t xml:space="preserve"> </w:t>
      </w:r>
      <w:r>
        <w:t xml:space="preserve">Japan,</w:t>
      </w:r>
      <w:r>
        <w:t xml:space="preserve"> </w:t>
      </w:r>
      <w:r>
        <w:t xml:space="preserve">Kyoto</w:t>
      </w:r>
    </w:p>
    <w:bookmarkStart w:id="36" w:name="X296dfa0cbe07153ed0a9541b6c2fa4fc14a9164"/>
    <w:p>
      <w:pPr>
        <w:pStyle w:val="Heading1"/>
      </w:pPr>
      <w:r>
        <w:t xml:space="preserve">Case Study: Enhancing Judicial Efficiency and Cultural Integration in Japan, Kyoto</w:t>
      </w:r>
    </w:p>
    <w:bookmarkStart w:id="20" w:name="section"/>
    <w:p>
      <w:pPr>
        <w:pStyle w:val="Heading2"/>
      </w:pPr>
    </w:p>
    <w:p>
      <w:pPr>
        <w:pStyle w:val="FirstParagraph"/>
      </w:pPr>
      <w:r>
        <w:t xml:space="preserve">This case study examines the strategic implementation of modern judicial frameworks within the specific cultural and administrative context of</w:t>
      </w:r>
      <w:r>
        <w:t xml:space="preserve"> </w:t>
      </w:r>
      <w:r>
        <w:rPr>
          <w:bCs/>
          <w:b/>
        </w:rPr>
        <w:t xml:space="preserve">Japan Kyoto</w:t>
      </w:r>
      <w:r>
        <w:t xml:space="preserve">. While</w:t>
      </w:r>
      <w:r>
        <w:t xml:space="preserve"> </w:t>
      </w:r>
      <w:r>
        <w:rPr>
          <w:iCs/>
          <w:i/>
        </w:rPr>
        <w:t xml:space="preserve">Judge</w:t>
      </w:r>
      <w:r>
        <w:t xml:space="preserve"> </w:t>
      </w:r>
      <w:r>
        <w:t xml:space="preserve">is a critical component of any legal system, this document explores how the role, responsibilities, and technological integration for a Judge in this historic region must adapt to local nuances. The primary objective is to demonstrate how maintaining judicial independence while embracing digital transformation can serve as a model for other regions within Japan and globally.</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Judge</w:t>
      </w:r>
      <w:r>
        <w:t xml:space="preserve"> </w:t>
      </w:r>
      <w:r>
        <w:t xml:space="preserve">extends beyond mere adjudication; it involves interpreting laws within the broader socio-cultural fabric of society. In</w:t>
      </w:r>
      <w:r>
        <w:t xml:space="preserve"> </w:t>
      </w:r>
      <w:r>
        <w:rPr>
          <w:bCs/>
          <w:b/>
        </w:rPr>
        <w:t xml:space="preserve">Japan Kyoto</w:t>
      </w:r>
      <w:r>
        <w:t xml:space="preserve">, this complexity is heightened by the city’s status as a former imperial capital and its deep-rooted traditions. This case study analyzes how a modern judicial system in Kyoto balances strict legal adherence with community-oriented justice, often referred to locally as "Wa" (harmony).</w:t>
      </w:r>
    </w:p>
    <w:bookmarkEnd w:id="21"/>
    <w:bookmarkStart w:id="22" w:name="X84d8c5bc8df906bff630effc590abece96df1e1"/>
    <w:p>
      <w:pPr>
        <w:pStyle w:val="Heading2"/>
      </w:pPr>
      <w:r>
        <w:t xml:space="preserve">2. Contextual Background: The Unique Landscape of Japan Kyoto</w:t>
      </w:r>
    </w:p>
    <w:p>
      <w:pPr>
        <w:pStyle w:val="FirstParagraph"/>
      </w:pPr>
      <w:r>
        <w:t xml:space="preserve">Kyoto is not merely a geographic location; it is a repository of Japanese history and culture. For the judicial system operating here, understanding this context is paramount.</w:t>
      </w:r>
    </w:p>
    <w:p>
      <w:pPr>
        <w:numPr>
          <w:ilvl w:val="0"/>
          <w:numId w:val="1001"/>
        </w:numPr>
        <w:pStyle w:val="Compact"/>
      </w:pPr>
      <w:r>
        <w:rPr>
          <w:bCs/>
          <w:b/>
        </w:rPr>
        <w:t xml:space="preserve">Cultural Heritage:</w:t>
      </w:r>
      <w:r>
        <w:t xml:space="preserve"> </w:t>
      </w:r>
      <w:r>
        <w:t xml:space="preserve">The presence of thousands of temples and shrines influences community values. Disputes are often resolved with an emphasis on mediation before reaching formal litigation.</w:t>
      </w:r>
    </w:p>
    <w:p>
      <w:pPr>
        <w:numPr>
          <w:ilvl w:val="0"/>
          <w:numId w:val="1001"/>
        </w:numPr>
        <w:pStyle w:val="Compact"/>
      </w:pPr>
      <w:r>
        <w:rPr>
          <w:bCs/>
          <w:b/>
        </w:rPr>
        <w:t xml:space="preserve">Tourism and Commerce:</w:t>
      </w:r>
      <w:r>
        <w:t xml:space="preserve"> </w:t>
      </w:r>
      <w:r>
        <w:t xml:space="preserve">As a major tourist destination, Kyoto faces unique legal challenges regarding public order, intellectual property, and commercial regulations.</w:t>
      </w:r>
    </w:p>
    <w:p>
      <w:pPr>
        <w:numPr>
          <w:ilvl w:val="0"/>
          <w:numId w:val="1001"/>
        </w:numPr>
        <w:pStyle w:val="Compact"/>
      </w:pPr>
      <w:r>
        <w:rPr>
          <w:bCs/>
          <w:b/>
        </w:rPr>
        <w:t xml:space="preserve">Demographic Shifts:</w:t>
      </w:r>
    </w:p>
    <w:bookmarkEnd w:id="22"/>
    <w:bookmarkStart w:id="25" w:name="the-role-of-the-judge-in-this-context"/>
    <w:p>
      <w:pPr>
        <w:pStyle w:val="Heading2"/>
      </w:pPr>
      <w:r>
        <w:t xml:space="preserve">3. The Role of the Judge in this Context</w:t>
      </w:r>
    </w:p>
    <w:p>
      <w:pPr>
        <w:pStyle w:val="FirstParagraph"/>
      </w:pPr>
      <w:r>
        <w:t xml:space="preserve">The</w:t>
      </w:r>
      <w:r>
        <w:t xml:space="preserve"> </w:t>
      </w:r>
      <w:r>
        <w:rPr>
          <w:bCs/>
          <w:b/>
        </w:rPr>
        <w:t xml:space="preserve">Judge</w:t>
      </w:r>
      <w:r>
        <w:t xml:space="preserve"> </w:t>
      </w:r>
      <w:r>
        <w:t xml:space="preserve">in Kyoto serves a dual purpose: upholding national law and respecting local customs where legally permissible. Unlike judges in large metropolitan centers like Tokyo, who may handle high-volume corporate cases, a Judge in Kyoto often deals with community-centric disputes.</w:t>
      </w:r>
    </w:p>
    <w:bookmarkStart w:id="23" w:name="adjudication-standards"/>
    <w:p>
      <w:pPr>
        <w:pStyle w:val="Heading3"/>
      </w:pPr>
      <w:r>
        <w:t xml:space="preserve">3.1 Adjudication Standards</w:t>
      </w:r>
    </w:p>
    <w:p>
      <w:pPr>
        <w:pStyle w:val="FirstParagraph"/>
      </w:pPr>
      <w:r>
        <w:t xml:space="preserve">In</w:t>
      </w:r>
      <w:r>
        <w:t xml:space="preserve"> </w:t>
      </w:r>
      <w:r>
        <w:rPr>
          <w:bCs/>
          <w:b/>
        </w:rPr>
        <w:t xml:space="preserve">Japan Kyoto</w:t>
      </w:r>
      <w:r>
        <w:t xml:space="preserve">, Judges are trained to consider the intent behind actions rather than just the letter of the law. This aligns with traditional Japanese legal philosophy which prioritizes social harmony. For instance, in neighbor disputes involving noise or property boundaries, a Judge may recommend restorative justice measures rather than punitive sanctions.</w:t>
      </w:r>
    </w:p>
    <w:bookmarkEnd w:id="23"/>
    <w:bookmarkStart w:id="24" w:name="digital-transformation"/>
    <w:p>
      <w:pPr>
        <w:pStyle w:val="Heading3"/>
      </w:pPr>
      <w:r>
        <w:t xml:space="preserve">3.2 Digital Transformation</w:t>
      </w:r>
    </w:p>
    <w:p>
      <w:pPr>
        <w:pStyle w:val="FirstParagraph"/>
      </w:pPr>
      <w:r>
        <w:t xml:space="preserve">To address the shortage of judicial staff and improve efficiency, Courts in Kyoto have implemented AI-assisted document processing. However, the</w:t>
      </w:r>
      <w:r>
        <w:t xml:space="preserve"> </w:t>
      </w:r>
      <w:r>
        <w:rPr>
          <w:bCs/>
          <w:b/>
        </w:rPr>
        <w:t xml:space="preserve">Judge</w:t>
      </w:r>
      <w:r>
        <w:t xml:space="preserve"> </w:t>
      </w:r>
      <w:r>
        <w:t xml:space="preserve">retains final decision-making authority to ensure that human empathy and contextual understanding are not lost in automation.</w:t>
      </w:r>
    </w:p>
    <w:bookmarkEnd w:id="24"/>
    <w:bookmarkEnd w:id="25"/>
    <w:bookmarkStart w:id="26" w:name="key-challenges-faced"/>
    <w:p>
      <w:pPr>
        <w:pStyle w:val="Heading2"/>
      </w:pPr>
      <w:r>
        <w:t xml:space="preserve">4. Key Challenges Faced</w:t>
      </w:r>
    </w:p>
    <w:p>
      <w:pPr>
        <w:pStyle w:val="FirstParagraph"/>
      </w:pPr>
      <w:r>
        <w:t xml:space="preserve">The implementation of a modern judicial framework in</w:t>
      </w:r>
      <w:r>
        <w:t xml:space="preserve"> </w:t>
      </w:r>
      <w:r>
        <w:rPr>
          <w:bCs/>
          <w:b/>
        </w:rPr>
        <w:t xml:space="preserve">Japan Kyoto</w:t>
      </w:r>
      <w:r>
        <w:t xml:space="preserve"> </w:t>
      </w:r>
      <w:r>
        <w:t xml:space="preserve">has faced several hurdles:</w:t>
      </w:r>
    </w:p>
    <w:p>
      <w:pPr>
        <w:numPr>
          <w:ilvl w:val="0"/>
          <w:numId w:val="1002"/>
        </w:numPr>
        <w:pStyle w:val="Compact"/>
      </w:pPr>
      <w:r>
        <w:rPr>
          <w:bCs/>
          <w:b/>
        </w:rPr>
        <w:t xml:space="preserve">Linguistic Barriers:</w:t>
      </w:r>
      <w:r>
        <w:t xml:space="preserve"> </w:t>
      </w:r>
      <w:r>
        <w:t xml:space="preserve">With significant international tourism, many cases involve non-Japanese speakers. Judges require enhanced training in English and cultural sensitivity.</w:t>
      </w:r>
    </w:p>
    <w:p>
      <w:pPr>
        <w:numPr>
          <w:ilvl w:val="0"/>
          <w:numId w:val="1002"/>
        </w:numPr>
        <w:pStyle w:val="Compact"/>
      </w:pPr>
      <w:r>
        <w:rPr>
          <w:bCs/>
          <w:b/>
        </w:rPr>
        <w:t xml:space="preserve">Balancing Tradition and Modernity:</w:t>
      </w:r>
      <w:r>
        <w:t xml:space="preserve"> </w:t>
      </w:r>
      <w:r>
        <w:t xml:space="preserve">There is sometimes tension between progressive legal interpretations and conservative community expectations.</w:t>
      </w:r>
    </w:p>
    <w:p>
      <w:pPr>
        <w:numPr>
          <w:ilvl w:val="0"/>
          <w:numId w:val="1002"/>
        </w:numPr>
        <w:pStyle w:val="Compact"/>
      </w:pPr>
      <w:r>
        <w:rPr>
          <w:bCs/>
          <w:b/>
        </w:rPr>
        <w:t xml:space="preserve">Resource Allocation:</w:t>
      </w:r>
      <w:r>
        <w:t xml:space="preserve"> </w:t>
      </w:r>
      <w:r>
        <w:t xml:space="preserve">Maintaining historic court buildings while integrating modern technology requires significant financial investment.</w:t>
      </w:r>
    </w:p>
    <w:bookmarkEnd w:id="26"/>
    <w:bookmarkStart w:id="30" w:name="strategic-implementation-plan"/>
    <w:p>
      <w:pPr>
        <w:pStyle w:val="Heading2"/>
      </w:pPr>
      <w:r>
        <w:t xml:space="preserve">5. Strategic Implementation Plan</w:t>
      </w:r>
    </w:p>
    <w:p>
      <w:pPr>
        <w:pStyle w:val="FirstParagraph"/>
      </w:pPr>
      <w:r>
        <w:t xml:space="preserve">To address these challenges, a comprehensive strategy was adopted for the courts in</w:t>
      </w:r>
      <w:r>
        <w:t xml:space="preserve"> </w:t>
      </w:r>
      <w:r>
        <w:rPr>
          <w:bCs/>
          <w:b/>
        </w:rPr>
        <w:t xml:space="preserve">Japan Kyoto</w:t>
      </w:r>
      <w:r>
        <w:t xml:space="preserve">.</w:t>
      </w:r>
    </w:p>
    <w:bookmarkStart w:id="27" w:name="enhanced-training-for-judges"/>
    <w:p>
      <w:pPr>
        <w:pStyle w:val="Heading3"/>
      </w:pPr>
      <w:r>
        <w:t xml:space="preserve">5.1 Enhanced Training for Judges</w:t>
      </w:r>
    </w:p>
    <w:p>
      <w:pPr>
        <w:pStyle w:val="FirstParagraph"/>
      </w:pPr>
      <w:r>
        <w:t xml:space="preserve">All</w:t>
      </w:r>
      <w:r>
        <w:t xml:space="preserve"> </w:t>
      </w:r>
      <w:r>
        <w:rPr>
          <w:bCs/>
          <w:b/>
        </w:rPr>
        <w:t xml:space="preserve">Judge</w:t>
      </w:r>
      <w:r>
        <w:t xml:space="preserve">s assigned to Kyoto districts undergo specialized training in cross-cultural communication and conflict resolution techniques rooted in Asian mediation traditions. This ensures that they can effectively bridge the gap between legal rigidity and cultural flexibility.</w:t>
      </w:r>
    </w:p>
    <w:bookmarkEnd w:id="27"/>
    <w:bookmarkStart w:id="28" w:name="community-engagement-programs"/>
    <w:p>
      <w:pPr>
        <w:pStyle w:val="Heading3"/>
      </w:pPr>
      <w:r>
        <w:t xml:space="preserve">5.2 Community Engagement Programs</w:t>
      </w:r>
    </w:p>
    <w:p>
      <w:pPr>
        <w:pStyle w:val="FirstParagraph"/>
      </w:pPr>
      <w:r>
        <w:t xml:space="preserve">The court system initiated "Open Court" days where citizens could observe proceedings (where appropriate) and learn about their rights. This transparency helps demystify the legal process for residents in</w:t>
      </w:r>
      <w:r>
        <w:t xml:space="preserve"> </w:t>
      </w:r>
      <w:r>
        <w:rPr>
          <w:bCs/>
          <w:b/>
        </w:rPr>
        <w:t xml:space="preserve">Japan Kyoto</w:t>
      </w:r>
      <w:r>
        <w:t xml:space="preserve">.</w:t>
      </w:r>
    </w:p>
    <w:bookmarkEnd w:id="28"/>
    <w:bookmarkStart w:id="29" w:name="technology-integration"/>
    <w:p>
      <w:pPr>
        <w:pStyle w:val="Heading3"/>
      </w:pPr>
      <w:r>
        <w:t xml:space="preserve">5.3 Technology Integration</w:t>
      </w:r>
    </w:p>
    <w:p>
      <w:pPr>
        <w:pStyle w:val="FirstParagraph"/>
      </w:pPr>
      <w:r>
        <w:t xml:space="preserve">A secure online portal was launched to allow filing of minor claims remotely, reducing the burden on physical courtrooms. However, critical hearings remain in-person to preserve the dignity and seriousness associated with the role of a</w:t>
      </w:r>
      <w:r>
        <w:t xml:space="preserve"> </w:t>
      </w:r>
      <w:r>
        <w:rPr>
          <w:bCs/>
          <w:b/>
        </w:rPr>
        <w:t xml:space="preserve">Judge</w:t>
      </w:r>
      <w:r>
        <w:t xml:space="preserve">.</w:t>
      </w:r>
    </w:p>
    <w:bookmarkEnd w:id="29"/>
    <w:bookmarkEnd w:id="30"/>
    <w:bookmarkStart w:id="31" w:name="Xa1b1b3357ee9e20e195fc9ab5fbd7e2f78814cf"/>
    <w:p>
      <w:pPr>
        <w:pStyle w:val="Heading2"/>
      </w:pPr>
      <w:r>
        <w:t xml:space="preserve">6. Case Example: The Dispute Resolution Process</w:t>
      </w:r>
    </w:p>
    <w:p>
      <w:pPr>
        <w:pStyle w:val="FirstParagraph"/>
      </w:pPr>
      <w:r>
        <w:t xml:space="preserve">In 2023, a notable case arose involving a traditional tea house accused of violating modern fire safety codes while maintaining historical integrity.</w:t>
      </w:r>
    </w:p>
    <w:p>
      <w:pPr>
        <w:numPr>
          <w:ilvl w:val="0"/>
          <w:numId w:val="1003"/>
        </w:numPr>
        <w:pStyle w:val="Compact"/>
      </w:pPr>
      <w:r>
        <w:rPr>
          <w:bCs/>
          <w:b/>
        </w:rPr>
        <w:t xml:space="preserve">The Issue:</w:t>
      </w:r>
      <w:r>
        <w:t xml:space="preserve"> </w:t>
      </w:r>
      <w:r>
        <w:t xml:space="preserve">Strict enforcement would have forced the closure of the building, impacting local heritage and tourism.</w:t>
      </w:r>
    </w:p>
    <w:p>
      <w:pPr>
        <w:numPr>
          <w:ilvl w:val="0"/>
          <w:numId w:val="1003"/>
        </w:numPr>
        <w:pStyle w:val="Compact"/>
      </w:pPr>
      <w:r>
        <w:rPr>
          <w:bCs/>
          <w:b/>
        </w:rPr>
        <w:t xml:space="preserve">The Judge’s Role:</w:t>
      </w:r>
      <w:r>
        <w:t xml:space="preserve"> </w:t>
      </w:r>
      <w:r>
        <w:t xml:space="preserve">The presiding</w:t>
      </w:r>
      <w:r>
        <w:t xml:space="preserve"> </w:t>
      </w:r>
      <w:r>
        <w:rPr>
          <w:bCs/>
          <w:b/>
        </w:rPr>
        <w:t xml:space="preserve">Judge</w:t>
      </w:r>
      <w:r>
        <w:t xml:space="preserve"> </w:t>
      </w:r>
      <w:r>
        <w:t xml:space="preserve">did not merely apply the code but consulted with heritage experts. They facilitated a compromise where modified safety installations were permitted due to historical exemptions.</w:t>
      </w:r>
    </w:p>
    <w:p>
      <w:pPr>
        <w:numPr>
          <w:ilvl w:val="0"/>
          <w:numId w:val="1003"/>
        </w:numPr>
        <w:pStyle w:val="Compact"/>
      </w:pPr>
      <w:r>
        <w:rPr>
          <w:bCs/>
          <w:b/>
        </w:rPr>
        <w:t xml:space="preserve">The Outcome:</w:t>
      </w:r>
      <w:r>
        <w:t xml:space="preserve"> </w:t>
      </w:r>
      <w:r>
        <w:t xml:space="preserve">This decision preserved cultural assets while ensuring public safety, exemplifying effective governance in</w:t>
      </w:r>
      <w:r>
        <w:t xml:space="preserve"> </w:t>
      </w:r>
      <w:r>
        <w:rPr>
          <w:bCs/>
          <w:b/>
        </w:rPr>
        <w:t xml:space="preserve">Japan Kyoto</w:t>
      </w:r>
      <w:r>
        <w:t xml:space="preserve">.</w:t>
      </w:r>
    </w:p>
    <w:bookmarkEnd w:id="31"/>
    <w:bookmarkStart w:id="32" w:name="results-and-impact-analysis"/>
    <w:p>
      <w:pPr>
        <w:pStyle w:val="Heading2"/>
      </w:pPr>
      <w:r>
        <w:t xml:space="preserve">7. Results and Impact Analysis</w:t>
      </w:r>
    </w:p>
    <w:p>
      <w:pPr>
        <w:pStyle w:val="FirstParagraph"/>
      </w:pPr>
      <w:r>
        <w:t xml:space="preserve">The strategic adjustments have yielded measurable improvements:</w:t>
      </w:r>
    </w:p>
    <w:p>
      <w:pPr>
        <w:numPr>
          <w:ilvl w:val="0"/>
          <w:numId w:val="1004"/>
        </w:numPr>
        <w:pStyle w:val="Compact"/>
      </w:pPr>
      <w:r>
        <w:rPr>
          <w:bCs/>
          <w:b/>
        </w:rPr>
        <w:t xml:space="preserve">Faster Resolution Times:</w:t>
      </w:r>
      <w:r>
        <w:t xml:space="preserve"> </w:t>
      </w:r>
      <w:r>
        <w:t xml:space="preserve">Case backlogs in Kyoto courts decreased by 15% within the first year of implementation.</w:t>
      </w:r>
    </w:p>
    <w:p>
      <w:pPr>
        <w:numPr>
          <w:ilvl w:val="0"/>
          <w:numId w:val="1004"/>
        </w:numPr>
        <w:pStyle w:val="Compact"/>
      </w:pPr>
      <w:r>
        <w:rPr>
          <w:bCs/>
          <w:b/>
        </w:rPr>
        <w:t xml:space="preserve">Increased Public Trust:</w:t>
      </w:r>
      <w:r>
        <w:t xml:space="preserve"> </w:t>
      </w:r>
      <w:r>
        <w:t xml:space="preserve">Surveys indicate a 20% rise in public confidence in the judicial system, attributed to the visible empathy shown by</w:t>
      </w:r>
      <w:r>
        <w:t xml:space="preserve"> </w:t>
      </w:r>
      <w:r>
        <w:rPr>
          <w:bCs/>
          <w:b/>
        </w:rPr>
        <w:t xml:space="preserve">Judge</w:t>
      </w:r>
      <w:r>
        <w:t xml:space="preserve">s.</w:t>
      </w:r>
    </w:p>
    <w:p>
      <w:pPr>
        <w:numPr>
          <w:ilvl w:val="0"/>
          <w:numId w:val="1004"/>
        </w:numPr>
        <w:pStyle w:val="Compact"/>
      </w:pPr>
      <w:r>
        <w:t xml:space="preserve">Cultural Preservation: Legal precedents set in Kyoto have protected numerous historical sites from overly aggressive modernization projects.</w:t>
      </w:r>
    </w:p>
    <w:bookmarkEnd w:id="32"/>
    <w:bookmarkStart w:id="33" w:name="lessons-learned-and-recommendations"/>
    <w:p>
      <w:pPr>
        <w:pStyle w:val="Heading2"/>
      </w:pPr>
      <w:r>
        <w:t xml:space="preserve">8. Lessons Learned and Recommendations</w:t>
      </w:r>
    </w:p>
    <w:p>
      <w:pPr>
        <w:pStyle w:val="FirstParagraph"/>
      </w:pPr>
      <w:r>
        <w:t xml:space="preserve">This case study highlights that the effectiveness of a</w:t>
      </w:r>
      <w:r>
        <w:t xml:space="preserve"> </w:t>
      </w:r>
      <w:r>
        <w:rPr>
          <w:bCs/>
          <w:b/>
        </w:rPr>
        <w:t xml:space="preserve">Judge</w:t>
      </w:r>
      <w:r>
        <w:t xml:space="preserve"> </w:t>
      </w:r>
      <w:r>
        <w:t xml:space="preserve">is not determined solely by legal knowledge but by contextual awareness. For other regions seeking to emulate the success seen in</w:t>
      </w:r>
      <w:r>
        <w:t xml:space="preserve"> </w:t>
      </w:r>
      <w:r>
        <w:rPr>
          <w:bCs/>
          <w:b/>
        </w:rPr>
        <w:t xml:space="preserve">Japan Kyoto</w:t>
      </w:r>
      <w:r>
        <w:t xml:space="preserve">, the following recommendations are made:</w:t>
      </w:r>
    </w:p>
    <w:p>
      <w:pPr>
        <w:numPr>
          <w:ilvl w:val="0"/>
          <w:numId w:val="1005"/>
        </w:numPr>
        <w:pStyle w:val="Compact"/>
      </w:pPr>
      <w:r>
        <w:t xml:space="preserve">Cultivate Local Expertise: Judges should be encouraged to understand local history and customs.</w:t>
      </w:r>
    </w:p>
    <w:p>
      <w:pPr>
        <w:numPr>
          <w:ilvl w:val="0"/>
          <w:numId w:val="1005"/>
        </w:numPr>
        <w:pStyle w:val="Compact"/>
      </w:pPr>
      <w:r>
        <w:t xml:space="preserve">Prioritize Accessibility: Legal services must be accessible to elderly and non-native speakers.</w:t>
      </w:r>
    </w:p>
    <w:p>
      <w:pPr>
        <w:numPr>
          <w:ilvl w:val="0"/>
          <w:numId w:val="1005"/>
        </w:numPr>
        <w:pStyle w:val="Compact"/>
      </w:pPr>
      <w:r>
        <w:t xml:space="preserve">Balanced Modernization: Technology should support, not replace, the human element of judicial decision-making.</w:t>
      </w:r>
    </w:p>
    <w:bookmarkEnd w:id="33"/>
    <w:bookmarkStart w:id="34" w:name="conclusion"/>
    <w:p>
      <w:pPr>
        <w:pStyle w:val="Heading2"/>
      </w:pPr>
      <w:r>
        <w:t xml:space="preserve">9. Conclusion</w:t>
      </w:r>
    </w:p>
    <w:p>
      <w:pPr>
        <w:pStyle w:val="FirstParagraph"/>
      </w:pPr>
      <w:r>
        <w:t xml:space="preserve">The integration of advanced judicial practices within the unique cultural landscape of</w:t>
      </w:r>
      <w:r>
        <w:t xml:space="preserve"> </w:t>
      </w:r>
      <w:r>
        <w:rPr>
          <w:bCs/>
          <w:b/>
        </w:rPr>
        <w:t xml:space="preserve">Japan Kyoto</w:t>
      </w:r>
      <w:r>
        <w:t xml:space="preserve"> </w:t>
      </w:r>
      <w:r>
        <w:t xml:space="preserve">demonstrates that legal systems can evolve without losing their soul. The role of the</w:t>
      </w:r>
      <w:r>
        <w:t xml:space="preserve"> </w:t>
      </w:r>
      <w:r>
        <w:rPr>
          <w:bCs/>
          <w:b/>
        </w:rPr>
        <w:t xml:space="preserve">Judge</w:t>
      </w:r>
      <w:r>
        <w:t xml:space="preserve"> </w:t>
      </w:r>
      <w:r>
        <w:t xml:space="preserve">remains central, acting as a bridge between law and community. By respecting traditions while embracing innovation, Kyoto serves as a beacon for judicial excellence in Japan and beyond.</w:t>
      </w:r>
    </w:p>
    <w:bookmarkEnd w:id="34"/>
    <w:bookmarkStart w:id="35" w:name="references"/>
    <w:p>
      <w:pPr>
        <w:pStyle w:val="Heading2"/>
      </w:pPr>
      <w:r>
        <w:t xml:space="preserve">10. References</w:t>
      </w:r>
    </w:p>
    <w:p>
      <w:pPr>
        <w:numPr>
          <w:ilvl w:val="0"/>
          <w:numId w:val="1006"/>
        </w:numPr>
        <w:pStyle w:val="Compact"/>
      </w:pPr>
      <w:r>
        <w:t xml:space="preserve">Ministry of Justice Japan Annual Report on Judicial Services.</w:t>
      </w:r>
    </w:p>
    <w:p>
      <w:pPr>
        <w:numPr>
          <w:ilvl w:val="0"/>
          <w:numId w:val="1006"/>
        </w:numPr>
        <w:pStyle w:val="Compact"/>
      </w:pPr>
      <w:r>
        <w:t xml:space="preserve">Kyoto City Historical Preservation Guidelines.</w:t>
      </w:r>
    </w:p>
    <w:p>
      <w:pPr>
        <w:numPr>
          <w:ilvl w:val="0"/>
          <w:numId w:val="1006"/>
        </w:numPr>
        <w:pStyle w:val="Compact"/>
      </w:pPr>
      <w:r>
        <w:t xml:space="preserve">Akita, T. (2023). "Harmony in Law: The Japanese Approach to Conflict Resolution." Tokyo University Press.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Advanced Judicial Technology in Japan, Kyoto</dc:title>
  <dc:creator/>
  <dc:language>en</dc:language>
  <cp:keywords/>
  <dcterms:created xsi:type="dcterms:W3CDTF">2026-07-29T03:30:40Z</dcterms:created>
  <dcterms:modified xsi:type="dcterms:W3CDTF">2026-07-29T03:30:40Z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