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495375098c133c2b0f756a280e766c16c6593ed"/>
    <w:p>
      <w:pPr>
        <w:pStyle w:val="Heading1"/>
      </w:pPr>
      <w:r>
        <w:t xml:space="preserve">A Critical Case Study on the Judicial Functionary in Malaysia Kuala Lumpur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Kuala Lumpur, Federal Territory of Malaysia</w:t>
      </w:r>
      <w:r>
        <w:br/>
      </w:r>
      <w:r>
        <w:rPr>
          <w:bCs/>
          <w:b/>
        </w:rPr>
        <w:t xml:space="preserve">Status:</w:t>
      </w:r>
      <w:r>
        <w:t xml:space="preserve">Judicial Review and Societal Impact Analysis</w:t>
      </w:r>
    </w:p>
    <w:bookmarkStart w:id="20" w:name="i.-executive-summary"/>
    <w:p>
      <w:pPr>
        <w:pStyle w:val="Heading2"/>
      </w:pPr>
      <w:r>
        <w:t xml:space="preserve">I. Executive Summary</w:t>
      </w:r>
    </w:p>
    <w:p>
      <w:pPr>
        <w:pStyle w:val="FirstParagraph"/>
      </w:pPr>
      <w:r>
        <w:t xml:space="preserve">The judiciary serves as the cornerstone of any democratic society, acting as the ultimate arbiter between the state and its citizens. In</w:t>
      </w:r>
      <w:r>
        <w:t xml:space="preserve"> </w:t>
      </w:r>
      <w:r>
        <w:rPr>
          <w:bCs/>
          <w:b/>
        </w:rPr>
        <w:t xml:space="preserve">Malaysia Kuala Lumpur</w:t>
      </w:r>
      <w:r>
        <w:t xml:space="preserve">, this role is particularly complex due to the city’s status as both the political capital and economic hub of a multicultural nation. This case study explores how a</w:t>
      </w:r>
      <w:r>
        <w:t xml:space="preserve"> </w:t>
      </w:r>
      <w:r>
        <w:rPr>
          <w:bCs/>
          <w:b/>
        </w:rPr>
        <w:t xml:space="preserve">Judge</w:t>
      </w:r>
      <w:r>
        <w:t xml:space="preserve"> </w:t>
      </w:r>
      <w:r>
        <w:t xml:space="preserve">navigates the intricate landscape of legal precedents, statutory interpretation, and societal expectations within the High Court and Courts of Appeal located in Kuala Lumpur. It examines recent shifts in judicial activism versus restraint, highlighting how individual decisions influence national policy and public trust.</w:t>
      </w:r>
    </w:p>
    <w:bookmarkEnd w:id="20"/>
    <w:bookmarkStart w:id="21" w:name="X8d1d1fde726177dd5e5461a2569271d7438f5fc"/>
    <w:p>
      <w:pPr>
        <w:pStyle w:val="Heading2"/>
      </w:pPr>
      <w:r>
        <w:t xml:space="preserve">II. Contextual Background: The Judicial Landscape</w:t>
      </w:r>
    </w:p>
    <w:p>
      <w:pPr>
        <w:pStyle w:val="FirstParagraph"/>
      </w:pPr>
      <w:r>
        <w:t xml:space="preserve">The legal system of Malaysia is a hybrid framework, combining English common law with statutory laws and, to a lesser extent in secular courts, Sharia law for personal matters involving Muslims.</w:t>
      </w:r>
      <w:r>
        <w:t xml:space="preserve"> </w:t>
      </w:r>
      <w:r>
        <w:rPr>
          <w:bCs/>
          <w:b/>
        </w:rPr>
        <w:t xml:space="preserve">Kuala Lumpur</w:t>
      </w:r>
      <w:r>
        <w:t xml:space="preserve">, being the seat of the federal government and the highest courts—including the Federal Court—hosts thousands of high-profile cases annually. The volume of litigation ranges from commercial disputes involving multinational corporations to sensitive constitutional matters regarding civil liberties and separation of powers.</w:t>
      </w:r>
    </w:p>
    <w:p>
      <w:pPr>
        <w:pStyle w:val="BodyText"/>
      </w:pPr>
      <w:r>
        <w:t xml:space="preserve">Within this environment, a</w:t>
      </w:r>
      <w:r>
        <w:t xml:space="preserve"> </w:t>
      </w:r>
      <w:r>
        <w:rPr>
          <w:bCs/>
          <w:b/>
        </w:rPr>
        <w:t xml:space="preserve">Judge</w:t>
      </w:r>
      <w:r>
        <w:t xml:space="preserve"> </w:t>
      </w:r>
      <w:r>
        <w:t xml:space="preserve">is not merely an interpreter of law but a guardian of constitutional integrity. The expectation placed upon judges in Kuala Lumpur is to remain impartial while addressing the unique socio-political dynamics present in the capital. Unlike rural jurisdictions where local customs may weigh heavily, cases in Kuala Lumpur often set national precedents that ripple across all 13 states and three federal territories.</w:t>
      </w:r>
    </w:p>
    <w:bookmarkEnd w:id="21"/>
    <w:bookmarkStart w:id="22" w:name="X8df7befb8443ecfe7d259f96168161c38353b2c"/>
    <w:p>
      <w:pPr>
        <w:pStyle w:val="Heading2"/>
      </w:pPr>
      <w:r>
        <w:t xml:space="preserve">III. Case Analysis: Judicial Independence in Practice</w:t>
      </w:r>
    </w:p>
    <w:p>
      <w:pPr>
        <w:pStyle w:val="FirstParagraph"/>
      </w:pPr>
      <w:r>
        <w:t xml:space="preserve">To understand the modern role of a</w:t>
      </w:r>
      <w:r>
        <w:t xml:space="preserve"> </w:t>
      </w:r>
      <w:r>
        <w:rPr>
          <w:bCs/>
          <w:b/>
        </w:rPr>
        <w:t xml:space="preserve">Judge</w:t>
      </w:r>
      <w:r>
        <w:t xml:space="preserve">, we must look at specific case types prevalent in Kuala Lumpur. A significant area of focus has been administrative law, particularly cases involving judicial reviews against government decisions.</w:t>
      </w:r>
    </w:p>
    <w:p>
      <w:pPr>
        <w:pStyle w:val="BodyText"/>
      </w:pPr>
      <w:r>
        <w:t xml:space="preserve">In recent years, several landmark cases heard by judges sitting in Kuala Lumpur have tested the boundaries of executive authority. For instance, petitions challenging the validity of emergency proclamations or legislative bills required judges to interpret conflicting constitutional clauses without succumbing to political pressure.</w:t>
      </w:r>
    </w:p>
    <w:p>
      <w:pPr>
        <w:pStyle w:val="BodyText"/>
      </w:pPr>
      <w:r>
        <w:t xml:space="preserve">One notable aspect of this case study is the tension between judicial restraint and activism. Traditional common law principles suggest that courts should defer to elected officials on policy matters. However, in</w:t>
      </w:r>
      <w:r>
        <w:t xml:space="preserve"> </w:t>
      </w:r>
      <w:r>
        <w:rPr>
          <w:bCs/>
          <w:b/>
        </w:rPr>
        <w:t xml:space="preserve">Malaysia Kuala Lumpur</w:t>
      </w:r>
      <w:r>
        <w:t xml:space="preserve">, judges have increasingly stepped in to protect fundamental liberties when legislative processes are deemed flawed or unconstitutional. This shift reflects a growing demand for accountability from the citizenry of the capital.</w:t>
      </w:r>
    </w:p>
    <w:bookmarkEnd w:id="22"/>
    <w:bookmarkStart w:id="23" w:name="X2cacf24cc8ab2b05a778843a1070f2f039d8c18"/>
    <w:p>
      <w:pPr>
        <w:pStyle w:val="Heading2"/>
      </w:pPr>
      <w:r>
        <w:t xml:space="preserve">IV. The Challenge of Public Perception and Trust</w:t>
      </w:r>
    </w:p>
    <w:p>
      <w:pPr>
        <w:pStyle w:val="FirstParagraph"/>
      </w:pPr>
      <w:r>
        <w:t xml:space="preserve">The integrity of a</w:t>
      </w:r>
      <w:r>
        <w:t xml:space="preserve"> </w:t>
      </w:r>
      <w:r>
        <w:rPr>
          <w:bCs/>
          <w:b/>
        </w:rPr>
        <w:t xml:space="preserve">Judge</w:t>
      </w:r>
      <w:r>
        <w:t xml:space="preserve"> </w:t>
      </w:r>
      <w:r>
        <w:t xml:space="preserve">is often scrutinized in public discourse, especially in media-saturated cities like Kuala Lumpur. High-profile cases frequently dominate headlines, leading to public polarization. Judges must navigate this visibility carefully, ensuring that their reasoning is grounded strictly in legal logic rather than popular opinion.</w:t>
      </w:r>
    </w:p>
    <w:p>
      <w:pPr>
        <w:pStyle w:val="BodyText"/>
      </w:pPr>
      <w:r>
        <w:t xml:space="preserve">A critical component of this case study is the implementation of transparency measures. Courts in</w:t>
      </w:r>
      <w:r>
        <w:t xml:space="preserve"> </w:t>
      </w:r>
      <w:r>
        <w:rPr>
          <w:bCs/>
          <w:b/>
        </w:rPr>
        <w:t xml:space="preserve">Malaysia Kuala Lumpur</w:t>
      </w:r>
      <w:r>
        <w:t xml:space="preserve"> </w:t>
      </w:r>
      <w:r>
        <w:t xml:space="preserve">have made strides toward live-streaming proceedings for certain cases and publishing detailed written judgments online. This accessibility allows legal scholars, journalists, and the public to critique judicial decisions based on merit rather than speculation. For a judge, this means that every ruling must be meticulously documented to withstand public scrutiny while maintaining judicial decorum.</w:t>
      </w:r>
    </w:p>
    <w:bookmarkEnd w:id="23"/>
    <w:bookmarkStart w:id="24" w:name="X3197fbfbfaf9bf2032bc7b95d6f1e9917af35db"/>
    <w:p>
      <w:pPr>
        <w:pStyle w:val="Heading2"/>
      </w:pPr>
      <w:r>
        <w:t xml:space="preserve">V. Technological Integration in the Judiciary</w:t>
      </w:r>
    </w:p>
    <w:p>
      <w:pPr>
        <w:pStyle w:val="FirstParagraph"/>
      </w:pPr>
      <w:r>
        <w:t xml:space="preserve">The modern judge in</w:t>
      </w:r>
      <w:r>
        <w:t xml:space="preserve"> </w:t>
      </w:r>
      <w:r>
        <w:rPr>
          <w:bCs/>
          <w:b/>
        </w:rPr>
        <w:t xml:space="preserve">Malaysia Kuala Lumpur</w:t>
      </w:r>
      <w:r>
        <w:t xml:space="preserve"> </w:t>
      </w:r>
      <w:r>
        <w:t xml:space="preserve">is also tasked with adapting to technological advancements within the legal framework. The introduction of e-filing systems, virtual hearings, and digital evidence management has transformed courtroom procedures.</w:t>
      </w:r>
    </w:p>
    <w:p>
      <w:pPr>
        <w:pStyle w:val="BodyText"/>
      </w:pPr>
      <w:r>
        <w:t xml:space="preserve">This digital transformation poses unique challenges for judges regarding data privacy and procedural fairness. In a case study focused on a</w:t>
      </w:r>
      <w:r>
        <w:t xml:space="preserve"> </w:t>
      </w:r>
      <w:r>
        <w:rPr>
          <w:bCs/>
          <w:b/>
        </w:rPr>
        <w:t xml:space="preserve">Judge</w:t>
      </w:r>
      <w:r>
        <w:t xml:space="preserve">’s role here, one must consider how technological literacy impacts judicial efficiency. Judges who are adept at managing these tools can expedite cases, reducing the backlog that plagues many legal systems. Conversely, resistance to change can lead to inefficiencies that undermine public confidence in the justice system.</w:t>
      </w:r>
    </w:p>
    <w:bookmarkEnd w:id="24"/>
    <w:bookmarkStart w:id="25" w:name="Xe74f5e32d98be2e35f3b7a2b82ed44c1c8c2ce8"/>
    <w:p>
      <w:pPr>
        <w:pStyle w:val="Heading2"/>
      </w:pPr>
      <w:r>
        <w:t xml:space="preserve">VI. Cultural Sensitivity and Multiculturalism</w:t>
      </w:r>
    </w:p>
    <w:p>
      <w:pPr>
        <w:pStyle w:val="FirstParagraph"/>
      </w:pPr>
      <w:r>
        <w:t xml:space="preserve">As a diverse metropolis,</w:t>
      </w:r>
      <w:r>
        <w:t xml:space="preserve"> </w:t>
      </w:r>
      <w:r>
        <w:rPr>
          <w:bCs/>
          <w:b/>
        </w:rPr>
        <w:t xml:space="preserve">Kuala Lumpur</w:t>
      </w:r>
      <w:r>
        <w:t xml:space="preserve"> </w:t>
      </w:r>
      <w:r>
        <w:t xml:space="preserve">presents judges with cases involving complex cultural and religious nuances. While secular courts handle civil matters, the interpretation of laws often requires sensitivity to Malaysia’s multi-ethnic fabric.</w:t>
      </w:r>
    </w:p>
    <w:p>
      <w:pPr>
        <w:pStyle w:val="BodyText"/>
      </w:pPr>
      <w:r>
        <w:t xml:space="preserve">A judge must ensure that their rulings do not inadvertently marginalize any community. For example, in cases involving family law or property disputes across different communities, judges must balance statutory law with equitable principles that respect cultural contexts without compromising constitutional equality. This delicate balancing act is a defining characteristic of judicial practice in the region.</w:t>
      </w:r>
    </w:p>
    <w:bookmarkEnd w:id="25"/>
    <w:bookmarkStart w:id="26" w:name="vii.-conclusion-and-recommendations"/>
    <w:p>
      <w:pPr>
        <w:pStyle w:val="Heading2"/>
      </w:pPr>
      <w:r>
        <w:t xml:space="preserve">VII. Conclusion and Recommendations</w:t>
      </w:r>
    </w:p>
    <w:p>
      <w:pPr>
        <w:pStyle w:val="FirstParagraph"/>
      </w:pPr>
      <w:r>
        <w:t xml:space="preserve">The role of a</w:t>
      </w:r>
      <w:r>
        <w:t xml:space="preserve"> </w:t>
      </w:r>
      <w:r>
        <w:rPr>
          <w:bCs/>
          <w:b/>
        </w:rPr>
        <w:t xml:space="preserve">Judge</w:t>
      </w:r>
      <w:r>
        <w:t xml:space="preserve"> </w:t>
      </w:r>
      <w:r>
        <w:t xml:space="preserve">in</w:t>
      </w:r>
      <w:r>
        <w:t xml:space="preserve"> </w:t>
      </w:r>
      <w:r>
        <w:rPr>
          <w:bCs/>
          <w:b/>
        </w:rPr>
        <w:t xml:space="preserve">Kuala Lumpur</w:t>
      </w:r>
      <w:r>
        <w:t xml:space="preserve">, Malaysia, extends far beyond presiding over court sessions. It involves navigating political pressures, embracing technological change, upholding constitutional supremacy, and maintaining public trust.</w:t>
      </w:r>
    </w:p>
    <w:p>
      <w:pPr>
        <w:pStyle w:val="BodyText"/>
      </w:pPr>
      <w:r>
        <w:t xml:space="preserve">This case study highlights that the effectiveness of the judiciary is contingent upon the independence and competence of individual judges. To strengthen this institution in</w:t>
      </w:r>
      <w:r>
        <w:t xml:space="preserve"> </w:t>
      </w:r>
      <w:r>
        <w:rPr>
          <w:bCs/>
          <w:b/>
        </w:rPr>
        <w:t xml:space="preserve">Malaysia Kuala Lumpur</w:t>
      </w:r>
      <w:r>
        <w:t xml:space="preserve">, it is recommended that continuous professional development be prioritized for judges, focusing on digital literacy, ethical decision-making, and international comparative law.</w:t>
      </w:r>
    </w:p>
    <w:p>
      <w:pPr>
        <w:pStyle w:val="BodyText"/>
      </w:pPr>
      <w:r>
        <w:t xml:space="preserve">Furthermore, enhancing communication channels between the courts and the public can demystify judicial processes. When a judge communicates their reasoning clearly and accessibly, it fosters a culture of respect for the rule of law. Ultimately, the strength of Malaysia’s legal system depends on its ability to adapt to modern challenges while remaining rooted in justice and fairness.</w:t>
      </w:r>
    </w:p>
    <w:p>
      <w:pPr>
        <w:pStyle w:val="BodyText"/>
      </w:pPr>
      <w:r>
        <w:t xml:space="preserve">By focusing on these key areas,</w:t>
      </w:r>
      <w:r>
        <w:t xml:space="preserve"> </w:t>
      </w:r>
      <w:r>
        <w:rPr>
          <w:bCs/>
          <w:b/>
        </w:rPr>
        <w:t xml:space="preserve">Kuala Lumpur</w:t>
      </w:r>
      <w:r>
        <w:t xml:space="preserve"> </w:t>
      </w:r>
      <w:r>
        <w:t xml:space="preserve">can serve as a model for judicial excellence in Southeast Asia, ensuring that every</w:t>
      </w:r>
      <w:r>
        <w:t xml:space="preserve"> </w:t>
      </w:r>
      <w:r>
        <w:rPr>
          <w:bCs/>
          <w:b/>
        </w:rPr>
        <w:t xml:space="preserve">Judge</w:t>
      </w:r>
      <w:r>
        <w:t xml:space="preserve"> </w:t>
      </w:r>
      <w:r>
        <w:t xml:space="preserve">delivers impartial justice that strengthens the democratic foundations of the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Judge in Malaysia Kuala Lumpur</dc:title>
  <dc:creator/>
  <cp:keywords/>
  <dcterms:created xsi:type="dcterms:W3CDTF">2026-07-29T10:31:54Z</dcterms:created>
  <dcterms:modified xsi:type="dcterms:W3CDTF">2026-07-29T10:31:54Z</dcterms:modified>
</cp:coreProperties>
</file>

<file path=docProps/custom.xml><?xml version="1.0" encoding="utf-8"?>
<Properties xmlns="http://schemas.openxmlformats.org/officeDocument/2006/custom-properties" xmlns:vt="http://schemas.openxmlformats.org/officeDocument/2006/docPropsVTypes"/>
</file>