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Evolution</w:t>
      </w:r>
      <w:r>
        <w:t xml:space="preserve"> </w:t>
      </w:r>
      <w:r>
        <w:t xml:space="preserve">and</w:t>
      </w:r>
      <w:r>
        <w:t xml:space="preserve"> </w:t>
      </w:r>
      <w:r>
        <w:t xml:space="preserve">Role</w:t>
      </w:r>
      <w:r>
        <w:t xml:space="preserve"> </w:t>
      </w:r>
      <w:r>
        <w:t xml:space="preserve">of</w:t>
      </w:r>
      <w:r>
        <w:t xml:space="preserve"> </w:t>
      </w:r>
      <w:r>
        <w:t xml:space="preserve">the</w:t>
      </w:r>
      <w:r>
        <w:t xml:space="preserve"> </w:t>
      </w:r>
      <w:r>
        <w:t xml:space="preserve">Judge</w:t>
      </w:r>
      <w:r>
        <w:t xml:space="preserve"> </w:t>
      </w:r>
      <w:r>
        <w:t xml:space="preserve">in</w:t>
      </w:r>
      <w:r>
        <w:t xml:space="preserve"> </w:t>
      </w:r>
      <w:r>
        <w:t xml:space="preserve">Saudi</w:t>
      </w:r>
      <w:r>
        <w:t xml:space="preserve"> </w:t>
      </w:r>
      <w:r>
        <w:t xml:space="preserve">Arabia</w:t>
      </w:r>
      <w:r>
        <w:t xml:space="preserve"> </w:t>
      </w:r>
      <w:r>
        <w:t xml:space="preserve">Riyadh</w:t>
      </w:r>
    </w:p>
    <w:bookmarkStart w:id="31" w:name="Xce325291a57b34ba637ea93a6aa8c179968a696"/>
    <w:p>
      <w:pPr>
        <w:pStyle w:val="Heading1"/>
      </w:pPr>
      <w:r>
        <w:t xml:space="preserve">Case Study: The Transformation of the Judicial System in Saudi Arabia Riyadh</w:t>
      </w:r>
    </w:p>
    <w:p>
      <w:pPr>
        <w:pStyle w:val="FirstParagraph"/>
      </w:pPr>
      <w:r>
        <w:rPr>
          <w:bCs/>
          <w:b/>
        </w:rPr>
        <w:t xml:space="preserve">Date:</w:t>
      </w:r>
      <w:r>
        <w:t xml:space="preserve"> </w:t>
      </w:r>
      <w:r>
        <w:t xml:space="preserve">October 2023</w:t>
      </w:r>
      <w:r>
        <w:br/>
      </w:r>
      <w:r>
        <w:rPr>
          <w:bCs/>
          <w:b/>
        </w:rPr>
        <w:t xml:space="preserve">Focus Region:</w:t>
      </w:r>
      <w:r>
        <w:t xml:space="preserve"> </w:t>
      </w:r>
      <w:r>
        <w:t xml:space="preserve">Saudi Arabia, specifically the capital city of Riyadh</w:t>
      </w:r>
      <w:r>
        <w:br/>
      </w:r>
      <w:r>
        <w:rPr>
          <w:bCs/>
          <w:b/>
        </w:rPr>
        <w:t xml:space="preserve">Subject:</w:t>
      </w:r>
      <w:r>
        <w:t xml:space="preserve"> </w:t>
      </w:r>
      <w:r>
        <w:t xml:space="preserve">The Role, Modernization, and Challenges of the Judge in Contemporary Legal Frameworks</w:t>
      </w:r>
    </w:p>
    <w:bookmarkStart w:id="20" w:name="executive-summary"/>
    <w:p>
      <w:pPr>
        <w:pStyle w:val="Heading2"/>
      </w:pPr>
      <w:r>
        <w:t xml:space="preserve">1. Executive Summary</w:t>
      </w:r>
    </w:p>
    <w:p>
      <w:pPr>
        <w:pStyle w:val="FirstParagraph"/>
      </w:pPr>
      <w:r>
        <w:t xml:space="preserve">This case study examines the profound transformation occurring within the judicial sector of Saudi Arabia, with a specific focus on its capital, Riyadh. Historically rooted deeply in Islamic jurisprudence (Sharia), the role of the Judge in Saudi Arabia has undergone significant structural and procedural changes. As Riyadh emerges as a global hub for business and tourism under Vision 2030, the judiciary must evolve to support economic diversification while maintaining religious integrity. This document analyzes how the modernization of courts, the implementation of new laws such as the Law of Procedure before Sharia Courts, and the integration of digital technologies are reshaping the responsibilities and daily operations of every Judge in Riyadh.</w:t>
      </w:r>
    </w:p>
    <w:bookmarkEnd w:id="20"/>
    <w:bookmarkStart w:id="21" w:name="X1fd74c2fa958bcf52f819246a6081d9c2441529"/>
    <w:p>
      <w:pPr>
        <w:pStyle w:val="Heading2"/>
      </w:pPr>
      <w:r>
        <w:t xml:space="preserve">2. Contextual Background: The Legal Landscape</w:t>
      </w:r>
    </w:p>
    <w:p>
      <w:pPr>
        <w:pStyle w:val="FirstParagraph"/>
      </w:pPr>
      <w:r>
        <w:t xml:space="preserve">Saudi Arabia’s legal system is unique in that it does not have a codified constitution; rather, the Quran and the Sunnah (traditions) of the Prophet Muhammad serve as its constitution. Historically, this meant that judicial decisions were often discretionary, varying from one Judge to another depending on their individual interpretation of Sharia principles. In Riyadh, where the volume of legal cases has skyrocketed due to urbanization and economic growth, this discretion posed challenges regarding consistency and predictability.</w:t>
      </w:r>
    </w:p>
    <w:p>
      <w:pPr>
        <w:pStyle w:val="BodyText"/>
      </w:pPr>
      <w:r>
        <w:t xml:space="preserve">The establishment of specialized courts—including commercial, labor, family (personal status), and criminal courts—was a pivotal step in professionalizing the judiciary. The Chief Justice of Riyadh plays a critical role in overseeing these specialized divisions, ensuring that local practices align with national directives issued by the Supreme Court. This centralization is crucial for maintaining uniformity across the kingdom.</w:t>
      </w:r>
    </w:p>
    <w:bookmarkEnd w:id="21"/>
    <w:bookmarkStart w:id="22" w:name="key-drivers-for-reform"/>
    <w:p>
      <w:pPr>
        <w:pStyle w:val="Heading2"/>
      </w:pPr>
      <w:r>
        <w:t xml:space="preserve">3. Key Drivers for Reform</w:t>
      </w:r>
    </w:p>
    <w:p>
      <w:pPr>
        <w:numPr>
          <w:ilvl w:val="0"/>
          <w:numId w:val="1001"/>
        </w:numPr>
        <w:pStyle w:val="Compact"/>
      </w:pPr>
      <w:r>
        <w:rPr>
          <w:bCs/>
          <w:b/>
        </w:rPr>
        <w:t xml:space="preserve">Vision 2030:</w:t>
      </w:r>
      <w:r>
        <w:t xml:space="preserve"> </w:t>
      </w:r>
      <w:r>
        <w:t xml:space="preserve">Launched by Crown Prince Mohammed bin Salman, this vision aims to reduce Saudi Arabia’s dependence on oil. To attract foreign direct investment (FDI), international investors require a transparent, efficient, and predictable legal system. The Judge is no longer just an interpreter of religious law but a facilitator of business stability.</w:t>
      </w:r>
    </w:p>
    <w:p>
      <w:pPr>
        <w:numPr>
          <w:ilvl w:val="0"/>
          <w:numId w:val="1001"/>
        </w:numPr>
        <w:pStyle w:val="Compact"/>
      </w:pPr>
      <w:r>
        <w:rPr>
          <w:bCs/>
          <w:b/>
        </w:rPr>
        <w:t xml:space="preserve">The New Commercial Courts:</w:t>
      </w:r>
      <w:r>
        <w:t xml:space="preserve"> </w:t>
      </w:r>
      <w:r>
        <w:t xml:space="preserve">The introduction of specialized commercial courts in Riyadh has separated business disputes from traditional Sharia hearings. This specialization allows Judges to develop expertise in international commercial standards, arbitration, and corporate governance.</w:t>
      </w:r>
    </w:p>
    <w:p>
      <w:pPr>
        <w:numPr>
          <w:ilvl w:val="0"/>
          <w:numId w:val="1001"/>
        </w:numPr>
        <w:pStyle w:val="Compact"/>
      </w:pPr>
      <w:r>
        <w:rPr>
          <w:bCs/>
          <w:b/>
        </w:rPr>
        <w:t xml:space="preserve">Digital Transformation (Najm System):</w:t>
      </w:r>
      <w:r>
        <w:t xml:space="preserve"> </w:t>
      </w:r>
      <w:r>
        <w:t xml:space="preserve">The implementation of the "Najm" electronic case management system has revolutionized how Judges operate. Litigants can now file cases online, track hearings digitally, and receive judgments electronically. This shift reduces backlog and increases transparency.</w:t>
      </w:r>
    </w:p>
    <w:bookmarkEnd w:id="22"/>
    <w:bookmarkStart w:id="26" w:name="the-changing-role-of-the-judge"/>
    <w:p>
      <w:pPr>
        <w:pStyle w:val="Heading2"/>
      </w:pPr>
      <w:r>
        <w:t xml:space="preserve">4. The Changing Role of the Judge</w:t>
      </w:r>
    </w:p>
    <w:p>
      <w:pPr>
        <w:pStyle w:val="FirstParagraph"/>
      </w:pPr>
      <w:r>
        <w:t xml:space="preserve">The traditional perception of a Judge in Saudi Arabia often involved an informal setting where parties presented their cases orally without strict adherence to procedural codes. Today, the role is becoming increasingly technical and rigorous.</w:t>
      </w:r>
    </w:p>
    <w:bookmarkStart w:id="23" w:name="adherence-to-codified-laws"/>
    <w:p>
      <w:pPr>
        <w:pStyle w:val="Heading3"/>
      </w:pPr>
      <w:r>
        <w:t xml:space="preserve">4.1 Adherence to Codified Laws</w:t>
      </w:r>
    </w:p>
    <w:p>
      <w:pPr>
        <w:pStyle w:val="FirstParagraph"/>
      </w:pPr>
      <w:r>
        <w:t xml:space="preserve">A significant shift has been the promulgation of detailed laws that provide written frameworks for Judges to follow. For instance, the Law of Procedure before Sharia Courts sets out strict timelines for hearings, evidence submission, and appeals. This reduces ambiguity and empowers Lawyers as well as Judges by creating a level playing field.</w:t>
      </w:r>
    </w:p>
    <w:bookmarkEnd w:id="23"/>
    <w:bookmarkStart w:id="24" w:name="specialization-and-expertise"/>
    <w:p>
      <w:pPr>
        <w:pStyle w:val="Heading3"/>
      </w:pPr>
      <w:r>
        <w:t xml:space="preserve">4.2 Specialization and Expertise</w:t>
      </w:r>
    </w:p>
    <w:p>
      <w:pPr>
        <w:pStyle w:val="FirstParagraph"/>
      </w:pPr>
      <w:r>
        <w:t xml:space="preserve">In Riyadh’s specialized courts, Judges are expected to have specific training in their respective fields. A Judge handling intellectual property disputes must understand modern technology laws, while a Labor Court Judge must be versed in new employment regulations protecting both local and expatriate workers. This specialization ensures that justice is not only served but is also technically accurate.</w:t>
      </w:r>
    </w:p>
    <w:bookmarkEnd w:id="24"/>
    <w:bookmarkStart w:id="25" w:name="dispute-resolution-and-mediation"/>
    <w:p>
      <w:pPr>
        <w:pStyle w:val="Heading3"/>
      </w:pPr>
      <w:r>
        <w:t xml:space="preserve">4.3 Dispute Resolution and Mediation</w:t>
      </w:r>
    </w:p>
    <w:p>
      <w:pPr>
        <w:pStyle w:val="FirstParagraph"/>
      </w:pPr>
      <w:r>
        <w:t xml:space="preserve">The Saudi judiciary is increasingly promoting Alternative Dispute Resolution (ADR). Judges in Riyadh are often encouraged to facilitate mediation before proceeding to full trials. This approach saves judicial resources and allows for more amicable resolutions, particularly in family and commercial disputes where long-term relationships are important.</w:t>
      </w:r>
    </w:p>
    <w:bookmarkEnd w:id="25"/>
    <w:bookmarkEnd w:id="26"/>
    <w:bookmarkStart w:id="27" w:name="Xb95dd623d94e64cc109ca967fd2461575646ee0"/>
    <w:p>
      <w:pPr>
        <w:pStyle w:val="Heading2"/>
      </w:pPr>
      <w:r>
        <w:t xml:space="preserve">5. Challenges Facing the Judiciary in Riyadh</w:t>
      </w:r>
    </w:p>
    <w:p>
      <w:pPr>
        <w:pStyle w:val="FirstParagraph"/>
      </w:pPr>
      <w:r>
        <w:rPr>
          <w:bCs/>
          <w:b/>
        </w:rPr>
        <w:t xml:space="preserve">Persistent Challenge:</w:t>
      </w:r>
      <w:r>
        <w:t xml:space="preserve"> </w:t>
      </w:r>
      <w:r>
        <w:t xml:space="preserve">Balancing Tradition with Modernity remains the central tension. While international standards demand speed and predictability, religious scholars emphasize adherence to moral and ethical principles over strict procedural efficiency. The Judge must navigate this delicate balance daily.</w:t>
      </w:r>
    </w:p>
    <w:p>
      <w:pPr>
        <w:pStyle w:val="BodyText"/>
      </w:pPr>
      <w:r>
        <w:rPr>
          <w:bCs/>
          <w:b/>
        </w:rPr>
        <w:t xml:space="preserve">Case Backlogs:</w:t>
      </w:r>
      <w:r>
        <w:t xml:space="preserve"> </w:t>
      </w:r>
      <w:r>
        <w:t xml:space="preserve">Despite digital improvements, Riyadh continues to face high volumes of litigation. The influx of new laws creates a learning curve for Judges who must interpret novel legal concepts that have no historical precedent in Sharia.</w:t>
      </w:r>
    </w:p>
    <w:p>
      <w:pPr>
        <w:pStyle w:val="BodyText"/>
      </w:pPr>
      <w:r>
        <w:rPr>
          <w:bCs/>
          <w:b/>
        </w:rPr>
        <w:t xml:space="preserve">Cultural Adaptation:</w:t>
      </w:r>
      <w:r>
        <w:t xml:space="preserve"> </w:t>
      </w:r>
      <w:r>
        <w:t xml:space="preserve">As the workforce becomes more diverse, with many expatriates participating in the economy, Judges must ensure that their rulings are understandable and fair to non-native speakers and those unfamiliar with Islamic legal terminology. This requires enhanced training in communication and international legal standards.</w:t>
      </w:r>
    </w:p>
    <w:bookmarkEnd w:id="27"/>
    <w:bookmarkStart w:id="28" w:name="X2286559d3bb85064b4353a14883ae75cc3de9f9"/>
    <w:p>
      <w:pPr>
        <w:pStyle w:val="Heading2"/>
      </w:pPr>
      <w:r>
        <w:t xml:space="preserve">6. Case Example: The Commercial Dispute in Riyadh</w:t>
      </w:r>
    </w:p>
    <w:p>
      <w:pPr>
        <w:pStyle w:val="FirstParagraph"/>
      </w:pPr>
      <w:r>
        <w:t xml:space="preserve">To illustrate these changes, consider a recent hypothetical case heard in the Commercial Court of Riyadh involving an international construction firm and a local developer. Under the old system, this dispute might have dragged on for years due to procedural ambiguities. However, under the new framework:</w:t>
      </w:r>
    </w:p>
    <w:p>
      <w:pPr>
        <w:pStyle w:val="BodyText"/>
      </w:pPr>
      <w:r>
        <w:t xml:space="preserve">The case was filed digitally via the Najm platform.</w:t>
      </w:r>
    </w:p>
    <w:p>
      <w:pPr>
        <w:pStyle w:val="BodyText"/>
      </w:pPr>
      <w:r>
        <w:t xml:space="preserve">A specialized Judge with expertise in construction law was assigned.</w:t>
      </w:r>
    </w:p>
    <w:p>
      <w:pPr>
        <w:pStyle w:val="BodyText"/>
      </w:pPr>
      <w:r>
        <w:t xml:space="preserve">&lt;2030-aligned arbitration clauses were recognized and enforced.</w:t>
      </w:r>
    </w:p>
    <w:p>
      <w:pPr>
        <w:pStyle w:val="BodyText"/>
      </w:pPr>
      <w:r>
        <w:t xml:space="preserve">This case demonstrates how the modern Judge in Riyadh acts as a guarantor of legal certainty, directly supporting the economic goals of Saudi Arabia.</w:t>
      </w:r>
    </w:p>
    <w:bookmarkEnd w:id="28"/>
    <w:bookmarkStart w:id="29" w:name="recommendations-for-future-development"/>
    <w:p>
      <w:pPr>
        <w:pStyle w:val="Heading2"/>
      </w:pPr>
      <w:r>
        <w:t xml:space="preserve">7. Recommendations for Future Development</w:t>
      </w:r>
    </w:p>
    <w:p>
      <w:pPr>
        <w:numPr>
          <w:ilvl w:val="0"/>
          <w:numId w:val="1002"/>
        </w:numPr>
        <w:pStyle w:val="Compact"/>
      </w:pPr>
      <w:r>
        <w:rPr>
          <w:bCs/>
          <w:b/>
        </w:rPr>
        <w:t xml:space="preserve">Enhanced Training Programs:</w:t>
      </w:r>
      <w:r>
        <w:t xml:space="preserve"> </w:t>
      </w:r>
      <w:r>
        <w:t xml:space="preserve">Continuous education for Judges should include modules on international law, arbitration, and digital forensics.Riyadh residents and businesses need better access to legal information to understand their rights. The judiciary should expand its digital outreach efforts.International Collaboration:Copies of judgments (anonymized) should be shared with international judicial bodies to promote mutual understanding of Saudi law, thereby increasing investor confidence.</w:t>
      </w:r>
    </w:p>
    <w:bookmarkEnd w:id="29"/>
    <w:bookmarkStart w:id="30" w:name="conclusion"/>
    <w:p>
      <w:pPr>
        <w:pStyle w:val="Heading2"/>
      </w:pPr>
      <w:r>
        <w:t xml:space="preserve">8. Conclusion</w:t>
      </w:r>
    </w:p>
    <w:p>
      <w:pPr>
        <w:pStyle w:val="FirstParagraph"/>
      </w:pPr>
      <w:r>
        <w:t xml:space="preserve">The evolution of the Judge in Saudi Arabia Riyadh is a testament to the kingdom’s broader transformation. The role has shifted from one primarily focused on religious interpretation to a complex profession requiring technical legal knowledge, procedural discipline, and economic awareness. While challenges remain, particularly in balancing tradition with modernity, the trajectory is clear: Saudi Arabia is building a judiciary that supports Vision 2030. For stakeholders—whether local citizens or international investors—the efficiency and fairness of the Judge in Riyadh are now more predictable than ever before. This case study underscores that the success of legal reforms depends not just on new laws, but on the capacity and adaptability of every Judge enforcing them.</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Evolution and Role of the Judge in Saudi Arabia Riyadh</dc:title>
  <dc:creator/>
  <dc:language>en</dc:language>
  <cp:keywords/>
  <dcterms:created xsi:type="dcterms:W3CDTF">2026-07-29T06:27:55Z</dcterms:created>
  <dcterms:modified xsi:type="dcterms:W3CDTF">2026-07-29T06:27:55Z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