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Valencia</w:t>
      </w:r>
    </w:p>
    <w:bookmarkStart w:id="32" w:name="Xd137f6dd01929d683006c089ef7919598e56707"/>
    <w:p>
      <w:pPr>
        <w:pStyle w:val="Heading1"/>
      </w:pPr>
      <w:r>
        <w:t xml:space="preserve">Case Study: The Judiciary in Action – Navigating Legal Complexities as a Judge in Spain Valencia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Spain, Valencian Community</w:t>
      </w:r>
      <w:r>
        <w:br/>
      </w:r>
    </w:p>
    <w:p>
      <w:pPr>
        <w:pStyle w:val="BodyText"/>
      </w:pPr>
      <w:r>
        <w:t xml:space="preserve">Focus Subject:</w:t>
      </w:r>
    </w:p>
    <w:p>
      <w:pPr>
        <w:pStyle w:val="BodyText"/>
      </w:pPr>
      <w:r>
        <w:t xml:space="preserve">The Role and Evolution of the</w:t>
      </w:r>
      <w:r>
        <w:t xml:space="preserve"> </w:t>
      </w:r>
      <w:r>
        <w:rPr>
          <w:iCs/>
          <w:i/>
        </w:rPr>
        <w:t xml:space="preserve">Judge</w:t>
      </w:r>
    </w:p>
    <w:bookmarkStart w:id="20" w:name="executive-summary"/>
    <w:p>
      <w:pPr>
        <w:pStyle w:val="Heading2"/>
      </w:pPr>
      <w:r>
        <w:t xml:space="preserve">1. Executive Summary</w:t>
      </w:r>
    </w:p>
    <w:p>
      <w:pPr>
        <w:pStyle w:val="FirstParagraph"/>
      </w:pPr>
      <w:r>
        <w:t xml:space="preserve">This case study examines the multifaceted role of a judge within the judicial system of Spain, with a specific geographical and cultural focus on Valencia. The Valencian Community is not merely a geographic location but a distinct legal entity within Spain, characterized by its own civil law traditions (</w:t>
      </w:r>
      <w:r>
        <w:rPr>
          <w:iCs/>
          <w:i/>
        </w:rPr>
        <w:t xml:space="preserve">Dret Foral Valencià</w:t>
      </w:r>
      <w:r>
        <w:t xml:space="preserve">) that coexist with the general Spanish Civil Code. This document explores how a judge operating in this region must navigate the intersection of national statutes, regional customs, and modern societal challenges.</w:t>
      </w:r>
    </w:p>
    <w:p>
      <w:pPr>
        <w:pStyle w:val="BodyText"/>
      </w:pPr>
      <w:r>
        <w:t xml:space="preserve">The study highlights that being a judge in Spain Valencia requires more than just legal knowledge; it demands cultural competence, linguistic proficiency in both Castilian Spanish and Valencian (Catalan variant), and an understanding of local socio-economic dynamics. The primary objective is to illustrate the procedural rigor, ethical standards, and adaptive reasoning required when presiding over cases in this vibrant Mediterranean jurisdiction.</w:t>
      </w:r>
    </w:p>
    <w:bookmarkEnd w:id="20"/>
    <w:bookmarkStart w:id="22" w:name="Xa2b212db3330cd35c33c69d8f7358e51bc34c3d"/>
    <w:p>
      <w:pPr>
        <w:pStyle w:val="Heading2"/>
      </w:pPr>
      <w:r>
        <w:t xml:space="preserve">2. Background: The Judicial Landscape in Spain Valencia</w:t>
      </w:r>
    </w:p>
    <w:p>
      <w:pPr>
        <w:pStyle w:val="FirstParagraph"/>
      </w:pPr>
      <w:r>
        <w:t xml:space="preserve">To understand the position of a judge in this context, one must first appreciate the unique legal framework of Spain. Spain is a civil law country where written law is the primary source of jurisprudence. However, Article 149 of the Spanish Constitution grants autonomous communities significant powers over their civil legislation.</w:t>
      </w:r>
    </w:p>
    <w:p>
      <w:pPr>
        <w:pStyle w:val="BodyText"/>
      </w:pPr>
      <w:r>
        <w:t xml:space="preserve">In Valencia, this results in a dual system. While criminal and constitutional matters are governed strictly by national laws applied uniformly across Spain, family law, property rights regarding agricultural land (</w:t>
      </w:r>
      <w:r>
        <w:rPr>
          <w:iCs/>
          <w:i/>
        </w:rPr>
        <w:t xml:space="preserve">masías</w:t>
      </w:r>
      <w:r>
        <w:t xml:space="preserve">), and certain contract disputes often reference Valencian customary law. A judge sitting in the courts of Valencia must therefore be proficient in interpreting how national codes interact with the</w:t>
      </w:r>
      <w:r>
        <w:t xml:space="preserve"> </w:t>
      </w:r>
      <w:r>
        <w:rPr>
          <w:iCs/>
          <w:i/>
        </w:rPr>
        <w:t xml:space="preserve">Furs de València</w:t>
      </w:r>
      <w:r>
        <w:t xml:space="preserve"> </w:t>
      </w:r>
      <w:r>
        <w:t xml:space="preserve">(historical laws) that still influence modern local practice.</w:t>
      </w:r>
    </w:p>
    <w:bookmarkStart w:id="21" w:name="linguistic-and-cultural-nuances"/>
    <w:p>
      <w:pPr>
        <w:pStyle w:val="Heading3"/>
      </w:pPr>
      <w:r>
        <w:t xml:space="preserve">Linguistic and Cultural Nuances</w:t>
      </w:r>
    </w:p>
    <w:p>
      <w:pPr>
        <w:pStyle w:val="FirstParagraph"/>
      </w:pPr>
      <w:r>
        <w:t xml:space="preserve">A critical aspect of being a judge in Spain Valencia is bilingualism. The official languages are Castilian Spanish and Valencian. Court proceedings, documentation, and judgments may need to be issued in either or both languages, depending on the nature of the case and the parties involved. For a judge, this represents a significant professional requirement. Misinterpretation due to linguistic nuance can lead to appeals or miscarriages of justice. Therefore, many judges in Valencia undergo specific training in legal terminology for both languages to ensure precision and inclusivity.</w:t>
      </w:r>
    </w:p>
    <w:bookmarkEnd w:id="21"/>
    <w:bookmarkEnd w:id="22"/>
    <w:bookmarkStart w:id="25" w:name="Xa88b4932c792988f83ebb57d04f011718711ccb"/>
    <w:p>
      <w:pPr>
        <w:pStyle w:val="Heading2"/>
      </w:pPr>
      <w:r>
        <w:t xml:space="preserve">3. The Case Profile: A Hypothetical Property Dispute</w:t>
      </w:r>
    </w:p>
    <w:p>
      <w:pPr>
        <w:pStyle w:val="FirstParagraph"/>
      </w:pPr>
      <w:r>
        <w:t xml:space="preserve">To contextualize the judge's role, we analyze a representative case type common in the region: a boundary dispute involving an agricultural estate near Alzira. This scenario is typical in Valencia due to the high value of orange groves and irrigation rights (</w:t>
      </w:r>
      <w:r>
        <w:rPr>
          <w:iCs/>
          <w:i/>
        </w:rPr>
        <w:t xml:space="preserve">dret d'aigua</w:t>
      </w:r>
      <w:r>
        <w:t xml:space="preserve">), which are heavily regulated by historical water tribunals and local civil codes.</w:t>
      </w:r>
    </w:p>
    <w:bookmarkStart w:id="23" w:name="facts-of-the-case"/>
    <w:p>
      <w:pPr>
        <w:pStyle w:val="Heading3"/>
      </w:pPr>
      <w:r>
        <w:t xml:space="preserve">Facts of the Case</w:t>
      </w:r>
    </w:p>
    <w:p>
      <w:pPr>
        <w:pStyle w:val="FirstParagraph"/>
      </w:pPr>
      <w:r>
        <w:t xml:space="preserve">Two neighboring landowners dispute the boundary line affecting access to a shared irrigation canal. One party claims ownership based on a deed from 1950, while the other argues for prescriptive possession over thirty years under local Valencian custom. The case involves not only property law but also environmental regulations and water usage rights managed by the</w:t>
      </w:r>
      <w:r>
        <w:t xml:space="preserve"> </w:t>
      </w:r>
      <w:r>
        <w:rPr>
          <w:iCs/>
          <w:i/>
        </w:rPr>
        <w:t xml:space="preserve">Tribunal de las Aguas</w:t>
      </w:r>
      <w:r>
        <w:t xml:space="preserve"> </w:t>
      </w:r>
      <w:r>
        <w:t xml:space="preserve">(Water Tribunal), an ancient institution unique to this region.</w:t>
      </w:r>
    </w:p>
    <w:bookmarkEnd w:id="23"/>
    <w:bookmarkStart w:id="24" w:name="the-judges-role-in-investigation"/>
    <w:p>
      <w:pPr>
        <w:pStyle w:val="Heading3"/>
      </w:pPr>
      <w:r>
        <w:t xml:space="preserve">The Judge’s Role in Investigation</w:t>
      </w:r>
    </w:p>
    <w:p>
      <w:pPr>
        <w:pStyle w:val="FirstParagraph"/>
      </w:pPr>
      <w:r>
        <w:t xml:space="preserve">In Spain's civil law system, the judge plays an active role in fact-finding, unlike the passive referee role often seen in common law adversarial systems. The judge here must:</w:t>
      </w:r>
    </w:p>
    <w:p>
      <w:pPr>
        <w:numPr>
          <w:ilvl w:val="0"/>
          <w:numId w:val="1001"/>
        </w:numPr>
        <w:pStyle w:val="Compact"/>
      </w:pPr>
      <w:r>
        <w:rPr>
          <w:bCs/>
          <w:b/>
        </w:rPr>
        <w:t xml:space="preserve">Evaluate Evidence:</w:t>
      </w:r>
      <w:r>
        <w:t xml:space="preserve"> </w:t>
      </w:r>
      <w:r>
        <w:t xml:space="preserve">Review historical deeds, satellite imagery, and testimonies from local elders regarding traditional usage of the land.</w:t>
      </w:r>
    </w:p>
    <w:p>
      <w:pPr>
        <w:numPr>
          <w:ilvl w:val="0"/>
          <w:numId w:val="1001"/>
        </w:numPr>
        <w:pStyle w:val="Compact"/>
      </w:pPr>
      <w:r>
        <w:rPr>
          <w:bCs/>
          <w:b/>
        </w:rPr>
        <w:t xml:space="preserve">Suspend Proceedings if Necessary:</w:t>
      </w:r>
      <w:r>
        <w:t xml:space="preserve"> </w:t>
      </w:r>
      <w:r>
        <w:t xml:space="preserve">Determine if the dispute over water rights requires prior resolution by the Tribunal de las Aguas before a civil judgment can be rendered.</w:t>
      </w:r>
    </w:p>
    <w:p>
      <w:pPr>
        <w:numPr>
          <w:ilvl w:val="0"/>
          <w:numId w:val="1001"/>
        </w:numPr>
        <w:pStyle w:val="Compact"/>
      </w:pPr>
      <w:r>
        <w:rPr>
          <w:bCs/>
          <w:b/>
        </w:rPr>
        <w:t xml:space="preserve">Moderate Settlement:</w:t>
      </w:r>
      <w:r>
        <w:t xml:space="preserve"> </w:t>
      </w:r>
      <w:r>
        <w:t xml:space="preserve">Actively encourage mediation, which is highly valued in Spanish culture to preserve community harmony.</w:t>
      </w:r>
    </w:p>
    <w:bookmarkEnd w:id="24"/>
    <w:bookmarkEnd w:id="25"/>
    <w:bookmarkStart w:id="28" w:name="Xbd9d46fd6dd01670f49d1b6a6f692be7d237059"/>
    <w:p>
      <w:pPr>
        <w:pStyle w:val="Heading2"/>
      </w:pPr>
      <w:r>
        <w:t xml:space="preserve">4. Procedural Challenges and Ethical Considerations</w:t>
      </w:r>
    </w:p>
    <w:bookmarkStart w:id="26" w:name="bridging-tradition-and-modernity"/>
    <w:p>
      <w:pPr>
        <w:pStyle w:val="Heading3"/>
      </w:pPr>
      <w:r>
        <w:t xml:space="preserve">Bridging Tradition and Modernity</w:t>
      </w:r>
    </w:p>
    <w:p>
      <w:pPr>
        <w:pStyle w:val="FirstParagraph"/>
      </w:pPr>
      <w:r>
        <w:t xml:space="preserve">The judge in Valencia often finds themselves at the crossroads of tradition and modernity. For instance, while digital transformation has swept through Spanish courts with the introduction of electronic filing (</w:t>
      </w:r>
      <w:r>
        <w:rPr>
          <w:iCs/>
          <w:i/>
        </w:rPr>
        <w:t xml:space="preserve">Sede Electrónica Judicial</w:t>
      </w:r>
      <w:r>
        <w:t xml:space="preserve">), older citizens in rural Valencia may struggle with these systems. The judge must ensure that digital accessibility does not impede justice for those less technologically literate, balancing efficiency with equitable access to justice.</w:t>
      </w:r>
    </w:p>
    <w:bookmarkEnd w:id="26"/>
    <w:bookmarkStart w:id="27" w:name="fear-and-security-a-real-concern"/>
    <w:p>
      <w:pPr>
        <w:pStyle w:val="Heading3"/>
      </w:pPr>
      <w:r>
        <w:t xml:space="preserve">Fear and Security: A Real Concern</w:t>
      </w:r>
    </w:p>
    <w:p>
      <w:pPr>
        <w:pStyle w:val="FirstParagraph"/>
      </w:pPr>
      <w:r>
        <w:t xml:space="preserve">A stark reality for judges in Spain, including Valencia, is the issue of security. High-profile cases involving organized crime or corruption have historically posed risks to judicial personnel. Consequently, a judge must be aware of security protocols. While routine civil cases do not involve such threats, the general atmosphere requires vigilance. The appointment and promotion of judges are handled by the General Council of the Judiciary (</w:t>
      </w:r>
      <w:r>
        <w:rPr>
          <w:iCs/>
          <w:i/>
        </w:rPr>
        <w:t xml:space="preserve">CGPJ</w:t>
      </w:r>
      <w:r>
        <w:t xml:space="preserve">), which emphasizes meritocratic standards but also political balance, a subject of ongoing national debate.</w:t>
      </w:r>
    </w:p>
    <w:bookmarkEnd w:id="27"/>
    <w:bookmarkEnd w:id="28"/>
    <w:bookmarkStart w:id="29" w:name="analysis-the-impact-on-community-trust"/>
    <w:p>
      <w:pPr>
        <w:pStyle w:val="Heading2"/>
      </w:pPr>
      <w:r>
        <w:t xml:space="preserve">5. Analysis: The Impact on Community Trust</w:t>
      </w:r>
    </w:p>
    <w:p>
      <w:pPr>
        <w:pStyle w:val="FirstParagraph"/>
      </w:pPr>
      <w:r>
        <w:t xml:space="preserve">The effectiveness of a judge in Spain Valencia is measured not only by the volume of cases resolved but by the perceived fairness and transparency of their rulings. In close-knit communities, where family names are known across generations, impartiality is paramount.</w:t>
      </w:r>
    </w:p>
    <w:p>
      <w:pPr>
        <w:pStyle w:val="BodyText"/>
      </w:pPr>
      <w:r>
        <w:t xml:space="preserve">This case study demonstrates that a successful judge in this region acts as an educator as well as an arbiter. When explaining a ruling to parties unfamiliar with complex legal jargon, the judge translates legal concepts into understandable terms. This "judicial diplomacy" helps de-escalate tensions and fosters respect for the rule of law.</w:t>
      </w:r>
    </w:p>
    <w:p>
      <w:pPr>
        <w:pStyle w:val="BodyText"/>
      </w:pPr>
      <w:r>
        <w:t xml:space="preserve">Furthermore, the integration of Valencian identity into judicial reasoning strengthens community trust. When a judge acknowledges local customs (within constitutional limits), it validates the cultural heritage of Valencia. This is particularly evident in family law cases, where mediation styles that prioritize family cohesion over strict individualism are often more effective and culturally appropriate.</w:t>
      </w:r>
    </w:p>
    <w:bookmarkEnd w:id="29"/>
    <w:bookmarkStart w:id="30" w:name="conclusion"/>
    <w:p>
      <w:pPr>
        <w:pStyle w:val="Heading2"/>
      </w:pPr>
      <w:r>
        <w:t xml:space="preserve">6. Conclusion</w:t>
      </w:r>
    </w:p>
    <w:p>
      <w:pPr>
        <w:pStyle w:val="FirstParagraph"/>
      </w:pPr>
      <w:r>
        <w:t xml:space="preserve">The role of a judge in Spain Valencia is complex, demanding a hybrid skill set: deep knowledge of national civil code, mastery of regional Valencian law, bilingual proficiency, and cultural sensitivity. As illustrated by the property dispute case study, these judges are not merely applicators of static laws but active managers of justice who must navigate historical traditions like water rights alongside modern digital procedures.</w:t>
      </w:r>
    </w:p>
    <w:p>
      <w:pPr>
        <w:pStyle w:val="BodyText"/>
      </w:pPr>
      <w:r>
        <w:t xml:space="preserve">For legal professionals studying the Spanish system, understanding the Valencia context is essential because it represents a microcosm of Spain’s broader challenge: balancing centralization with regional autonomy. The judge stands as the guardian of this balance, ensuring that justice is served in a manner that is legally sound, culturally respectful, and socially equitable.</w:t>
      </w:r>
    </w:p>
    <w:bookmarkEnd w:id="30"/>
    <w:bookmarkStart w:id="31" w:name="Xf10e21e9f7157cb241ab23cfac2dd969bfb9ac9"/>
    <w:p>
      <w:pPr>
        <w:pStyle w:val="Heading2"/>
      </w:pPr>
      <w:r>
        <w:t xml:space="preserve">7. Recommendations for Future Judicial Training</w:t>
      </w:r>
    </w:p>
    <w:p>
      <w:pPr>
        <w:numPr>
          <w:ilvl w:val="0"/>
          <w:numId w:val="1002"/>
        </w:numPr>
        <w:pStyle w:val="Compact"/>
      </w:pPr>
      <w:r>
        <w:rPr>
          <w:bCs/>
          <w:b/>
        </w:rPr>
        <w:t xml:space="preserve">Civil Law Specialization:</w:t>
      </w:r>
      <w:r>
        <w:t xml:space="preserve"> </w:t>
      </w:r>
      <w:r>
        <w:t xml:space="preserve">Enhanced training programs specifically focused on Valencian Civil Law (</w:t>
      </w:r>
      <w:r>
        <w:rPr>
          <w:iCs/>
          <w:i/>
        </w:rPr>
        <w:t xml:space="preserve">Dret Foral Valencià</w:t>
      </w:r>
      <w:r>
        <w:t xml:space="preserve">) for judges transferred from other regions of Spain.</w:t>
      </w:r>
    </w:p>
    <w:p>
      <w:pPr>
        <w:numPr>
          <w:ilvl w:val="0"/>
          <w:numId w:val="1002"/>
        </w:numPr>
        <w:pStyle w:val="Compact"/>
      </w:pPr>
      <w:r>
        <w:rPr>
          <w:bCs/>
          <w:b/>
        </w:rPr>
        <w:t xml:space="preserve">Multilingual Proficiency:</w:t>
      </w:r>
      <w:r>
        <w:t xml:space="preserve"> </w:t>
      </w:r>
      <w:r>
        <w:t xml:space="preserve">Mandatory advanced legal language courses in Valencian for all incoming judges to ensure procedural accuracy.</w:t>
      </w:r>
    </w:p>
    <w:p>
      <w:pPr>
        <w:numPr>
          <w:ilvl w:val="0"/>
          <w:numId w:val="1002"/>
        </w:numPr>
        <w:pStyle w:val="Compact"/>
      </w:pPr>
      <w:r>
        <w:rPr>
          <w:bCs/>
          <w:b/>
        </w:rPr>
        <w:t xml:space="preserve">Crisis Management:</w:t>
      </w:r>
      <w:r>
        <w:t xml:space="preserve"> </w:t>
      </w:r>
      <w:r>
        <w:t xml:space="preserve">Updated security and psychological support frameworks for judges handling sensitive cases involving organized crime or high-stakes commercial disputes.</w:t>
      </w:r>
    </w:p>
    <w:p>
      <w:pPr>
        <w:pStyle w:val="FirstParagraph"/>
      </w:pPr>
      <w:r>
        <w:rPr>
          <w:iCs/>
          <w:i/>
        </w:rPr>
        <w:t xml:space="preserve">This document serves as an academic overview of judicial practice in the Valencian jurisdiction. All examples are illustrative of general legal principles and procedures applicable in Spain Valencia.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Judge in Spain Valencia</dc:title>
  <dc:creator/>
  <dc:language>en</dc:language>
  <cp:keywords/>
  <dcterms:created xsi:type="dcterms:W3CDTF">2026-07-29T04:04:06Z</dcterms:created>
  <dcterms:modified xsi:type="dcterms:W3CDTF">2026-07-29T04:04:06Z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