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Excellence</w:t>
      </w:r>
      <w:r>
        <w:t xml:space="preserve"> </w:t>
      </w:r>
      <w:r>
        <w:t xml:space="preserve">and</w:t>
      </w:r>
      <w:r>
        <w:t xml:space="preserve"> </w:t>
      </w:r>
      <w:r>
        <w:t xml:space="preserve">Regulatory</w:t>
      </w:r>
      <w:r>
        <w:t xml:space="preserve"> </w:t>
      </w:r>
      <w:r>
        <w:t xml:space="preserve">Compliance</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Abu</w:t>
      </w:r>
      <w:r>
        <w:t xml:space="preserve"> </w:t>
      </w:r>
      <w:r>
        <w:t xml:space="preserve">Dhabi</w:t>
      </w:r>
    </w:p>
    <w:bookmarkStart w:id="29" w:name="X4d08c43b91dbc2896ff909bb7ebaad965d849c9"/>
    <w:p>
      <w:pPr>
        <w:pStyle w:val="Heading1"/>
      </w:pPr>
      <w:r>
        <w:t xml:space="preserve">Case Study: Operational Excellence and Regulatory Compliance for Laboratory Technicians in Abu Dhabi</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&amp; Diagnostics</w:t>
      </w:r>
      <w:r>
        <w:br/>
      </w:r>
      <w:r>
        <w:rPr>
          <w:bCs/>
          <w:b/>
        </w:rPr>
        <w:t xml:space="preserve">Status:</w:t>
      </w:r>
      <w:r>
        <w:t xml:space="preserve"> </w:t>
      </w:r>
      <w:r>
        <w:t xml:space="preserve">Completed Review</w:t>
      </w:r>
    </w:p>
    <w:bookmarkStart w:id="20" w:name="executive-summary"/>
    <w:p>
      <w:pPr>
        <w:pStyle w:val="Heading2"/>
      </w:pPr>
      <w:r>
        <w:t xml:space="preserve">1. Executive Summary</w:t>
      </w:r>
    </w:p>
    <w:p>
      <w:pPr>
        <w:pStyle w:val="FirstParagraph"/>
      </w:pPr>
      <w:r>
        <w:t xml:space="preserve">The United Arab Emirates, and specifically Abu Dhabi, has emerged as a global hub for advanced healthcare and biotechnology. This Case Study examines the critical role of the Laboratory Technician within this dynamic region. As Abu Dhabi continues to implement Vision 2030 objectives aimed at enhancing healthcare quality and medical research capabilities, the proficiency of Laboratory Technicians has become a cornerstone of operational success in institutions such as Sheikh Shakhbout Medical City (SSMC) and Cleveland Clinic Abu Dhabi. This document explores the challenges, regulatory frameworks, and best practices governing Laboratory Technician roles in this high-stakes environment.</w:t>
      </w:r>
    </w:p>
    <w:bookmarkEnd w:id="20"/>
    <w:bookmarkStart w:id="21" w:name="Xeff45fd4a45f4f22376d3f94afe1f1fda09b781"/>
    <w:p>
      <w:pPr>
        <w:pStyle w:val="Heading2"/>
      </w:pPr>
      <w:r>
        <w:t xml:space="preserve">2. Background: The Context of United Arab Emirates Abu Dhabi</w:t>
      </w:r>
    </w:p>
    <w:p>
      <w:pPr>
        <w:pStyle w:val="FirstParagraph"/>
      </w:pPr>
      <w:r>
        <w:t xml:space="preserve">The healthcare landscape in the United Arab Emirates is characterized by rapid modernization and a strong government commitment to digital health integration. In Abu Dhabi, the Department of Health (DoH) serves as the primary regulatory body, enforcing rigorous standards for healthcare facilities. For Laboratory Technicians working in this region, compliance is not merely a procedural requirement but a cultural imperative embedded in daily operations.</w:t>
      </w:r>
    </w:p>
    <w:p>
      <w:pPr>
        <w:pStyle w:val="BodyText"/>
      </w:pPr>
      <w:r>
        <w:t xml:space="preserve">The diversity of Abu Dhabi’s population necessitates laboratories that can handle a wide spectrum of genetic conditions, infectious diseases, and chronic health issues. Consequently, the demand for skilled Laboratory Technicians who are proficient in both traditional biochemical analysis and advanced molecular diagnostics has surged. This Case Study focuses on how these professionals navigate the complex intersection of international laboratory standards (such as ISO 15189) and local Emirati regulations.</w:t>
      </w:r>
    </w:p>
    <w:bookmarkEnd w:id="21"/>
    <w:bookmarkStart w:id="22" w:name="problem-statement"/>
    <w:p>
      <w:pPr>
        <w:pStyle w:val="Heading2"/>
      </w:pPr>
      <w:r>
        <w:t xml:space="preserve">3. Problem Statement</w:t>
      </w:r>
    </w:p>
    <w:p>
      <w:pPr>
        <w:pStyle w:val="FirstParagraph"/>
      </w:pPr>
      <w:r>
        <w:t xml:space="preserve">A leading multi-specialty hospital in Abu Dhabi faced significant operational bottlenecks regarding turnaround times (TAT) for critical diagnostic tests. Despite having state-of-the-art equipment, the facility experienced delays that impacted patient discharge rates and clinical decision-making. Internal audits revealed that while the technology was advanced, there were inconsistencies in sample handling protocols and a lack of standardized training for new Laboratory Technicians on local regulatory nuances.</w:t>
      </w:r>
    </w:p>
    <w:p>
      <w:pPr>
        <w:pStyle w:val="BodyText"/>
      </w:pPr>
      <w:r>
        <w:t xml:space="preserve">The core problem was identified as a gap between theoretical knowledge held by technicians and the practical, compliance-driven realities required by the Department of Health in Abu Dhabi. The laboratory needed to bridge this gap to ensure patient safety while maintaining operational efficiency.</w:t>
      </w:r>
    </w:p>
    <w:bookmarkEnd w:id="22"/>
    <w:bookmarkStart w:id="23" w:name="methodology-and-intervention"/>
    <w:p>
      <w:pPr>
        <w:pStyle w:val="Heading2"/>
      </w:pPr>
      <w:r>
        <w:t xml:space="preserve">4. Methodology and Intervention</w:t>
      </w:r>
    </w:p>
    <w:p>
      <w:pPr>
        <w:pStyle w:val="FirstParagraph"/>
      </w:pPr>
      <w:r>
        <w:t xml:space="preserve">To address these challenges, a comprehensive restructuring of the Laboratory Technician training and workflow program was initiated. The intervention strategy involved three key pillars:</w:t>
      </w:r>
    </w:p>
    <w:p>
      <w:pPr>
        <w:numPr>
          <w:ilvl w:val="0"/>
          <w:numId w:val="1001"/>
        </w:numPr>
        <w:pStyle w:val="Compact"/>
      </w:pPr>
      <w:r>
        <w:rPr>
          <w:bCs/>
          <w:b/>
        </w:rPr>
        <w:t xml:space="preserve">Regulatory Alignment Training:</w:t>
      </w:r>
    </w:p>
    <w:p>
      <w:pPr>
        <w:numPr>
          <w:ilvl w:val="0"/>
          <w:numId w:val="1001"/>
        </w:numPr>
        <w:pStyle w:val="Compact"/>
      </w:pPr>
      <w:r>
        <w:rPr>
          <w:bCs/>
          <w:b/>
        </w:rPr>
        <w:t xml:space="preserve">Digital Integration and Automation:</w:t>
      </w:r>
    </w:p>
    <w:p>
      <w:pPr>
        <w:numPr>
          <w:ilvl w:val="0"/>
          <w:numId w:val="1001"/>
        </w:numPr>
        <w:pStyle w:val="Compact"/>
      </w:pPr>
      <w:r>
        <w:rPr>
          <w:bCs/>
          <w:b/>
        </w:rPr>
        <w:t xml:space="preserve">Mentorship and Continuous Professional Development:</w:t>
      </w:r>
    </w:p>
    <w:bookmarkEnd w:id="23"/>
    <w:bookmarkStart w:id="24" w:name="Xa29a367be65927c2cd9f2669d0b739af878214d"/>
    <w:p>
      <w:pPr>
        <w:pStyle w:val="Heading2"/>
      </w:pPr>
      <w:r>
        <w:t xml:space="preserve">5. Implementation in a Multicultural Environment</w:t>
      </w:r>
    </w:p>
    <w:p>
      <w:pPr>
        <w:pStyle w:val="FirstParagraph"/>
      </w:pPr>
      <w:r>
        <w:t xml:space="preserve">A unique aspect of working as a Laboratory Technician in United Arab Emirates Abu Dhabi is the multicultural workforce. The laboratory team comprised technicians from various nationalities, including India, Egypt, the Philippines, and expatriates from Europe and North America. Effective communication was paramount.</w:t>
      </w:r>
    </w:p>
    <w:p>
      <w:pPr>
        <w:pStyle w:val="BodyText"/>
      </w:pPr>
      <w:r>
        <w:t xml:space="preserve">The Case Study highlights that technical skills alone were insufficient. Soft skills training was introduced to ensure clear communication between Laboratory Technicians and multidisciplinary medical teams. Standardized terminology for test results was enforced to prevent misinterpretation across different linguistic backgrounds, thereby reducing the risk of diagnostic errors.</w:t>
      </w:r>
    </w:p>
    <w:bookmarkEnd w:id="24"/>
    <w:bookmarkStart w:id="25" w:name="results-and-outcomes"/>
    <w:p>
      <w:pPr>
        <w:pStyle w:val="Heading2"/>
      </w:pPr>
      <w:r>
        <w:t xml:space="preserve">6. Results and Outcomes</w:t>
      </w:r>
    </w:p>
    <w:p>
      <w:pPr>
        <w:pStyle w:val="FirstParagraph"/>
      </w:pPr>
      <w:r>
        <w:t xml:space="preserve">Six months post-implementation, the facility observed significant improvements in key performance indicators:</w:t>
      </w:r>
    </w:p>
    <w:p>
      <w:pPr>
        <w:numPr>
          <w:ilvl w:val="0"/>
          <w:numId w:val="1002"/>
        </w:numPr>
        <w:pStyle w:val="Compact"/>
      </w:pPr>
      <w:r>
        <w:rPr>
          <w:bCs/>
          <w:b/>
        </w:rPr>
        <w:t xml:space="preserve">Turnaround Time Reduction:</w:t>
      </w:r>
    </w:p>
    <w:p>
      <w:pPr>
        <w:numPr>
          <w:ilvl w:val="0"/>
          <w:numId w:val="1002"/>
        </w:numPr>
        <w:pStyle w:val="Compact"/>
      </w:pPr>
      <w:r>
        <w:rPr>
          <w:bCs/>
          <w:b/>
        </w:rPr>
        <w:t xml:space="preserve">Error Rate Minimization:</w:t>
      </w:r>
    </w:p>
    <w:p>
      <w:pPr>
        <w:numPr>
          <w:ilvl w:val="0"/>
          <w:numId w:val="1002"/>
        </w:numPr>
        <w:pStyle w:val="Compact"/>
      </w:pPr>
      <w:r>
        <w:rPr>
          <w:bCs/>
          <w:b/>
        </w:rPr>
        <w:t xml:space="preserve">Accreditation Success:</w:t>
      </w:r>
    </w:p>
    <w:bookmarkEnd w:id="25"/>
    <w:bookmarkStart w:id="26" w:name="Xc8d5896b7832dfd0960d67796dfb4d1caabdb71"/>
    <w:p>
      <w:pPr>
        <w:pStyle w:val="Heading2"/>
      </w:pPr>
      <w:r>
        <w:t xml:space="preserve">7. Discussion: The Strategic Value of Laboratory Technicians in Abu Dhabi</w:t>
      </w:r>
    </w:p>
    <w:p>
      <w:pPr>
        <w:pStyle w:val="FirstParagraph"/>
      </w:pPr>
      <w:r>
        <w:t xml:space="preserve">This Case Study underscores that the role of a Laboratory Technician in United Arab Emirates Abu Dhabi is evolving from a purely technical function to a strategic operational role. With the UAE government’s heavy investment in medical tourism and research hubs like Biotech Valley, the expectation for precision and speed is higher than ever.</w:t>
      </w:r>
    </w:p>
    <w:p>
      <w:pPr>
        <w:pStyle w:val="BodyText"/>
      </w:pPr>
      <w:r>
        <w:t xml:space="preserve">Furthermore, the regulatory environment in Abu Dhabi is strict yet supportive of innovation. Laboratory Technicians who demonstrate adaptability to new technologies while adhering to strict compliance standards are highly valued. The success seen in this case study serves as a model for other healthcare facilities across the Emirates looking to optimize their diagnostic capabilities.</w:t>
      </w:r>
    </w:p>
    <w:bookmarkEnd w:id="26"/>
    <w:bookmarkStart w:id="27" w:name="conclusion"/>
    <w:p>
      <w:pPr>
        <w:pStyle w:val="Heading2"/>
      </w:pPr>
      <w:r>
        <w:t xml:space="preserve">8. Conclusion</w:t>
      </w:r>
    </w:p>
    <w:p>
      <w:pPr>
        <w:pStyle w:val="FirstParagraph"/>
      </w:pPr>
      <w:r>
        <w:t xml:space="preserve">In conclusion, the effectiveness of healthcare delivery in Abu Dhabi is intrinsically linked to the competence and adaptability of its Laboratory Technicians. By aligning technical training with local regulatory frameworks and fostering a culture of continuous improvement, healthcare facilities can achieve superior patient outcomes. This Case Study confirms that investing in the professional development of Laboratory Technicians is not just an operational necessity but a strategic imperative for sustaining excellence in the United Arab Emirates’ rapidly advancing healthcare sector.</w:t>
      </w:r>
    </w:p>
    <w:bookmarkEnd w:id="27"/>
    <w:bookmarkStart w:id="28" w:name="recommendations"/>
    <w:p>
      <w:pPr>
        <w:pStyle w:val="Heading2"/>
      </w:pPr>
      <w:r>
        <w:t xml:space="preserve">9. Recommendations</w:t>
      </w:r>
    </w:p>
    <w:p>
      <w:pPr>
        <w:numPr>
          <w:ilvl w:val="0"/>
          <w:numId w:val="1003"/>
        </w:numPr>
        <w:pStyle w:val="Compact"/>
      </w:pPr>
      <w:r>
        <w:rPr>
          <w:bCs/>
          <w:b/>
        </w:rPr>
        <w:t xml:space="preserve">Ongoing Training:</w:t>
      </w:r>
    </w:p>
    <w:p>
      <w:pPr>
        <w:numPr>
          <w:ilvl w:val="0"/>
          <w:numId w:val="1003"/>
        </w:numPr>
        <w:pStyle w:val="Compact"/>
      </w:pPr>
      <w:r>
        <w:rPr>
          <w:bCs/>
          <w:b/>
        </w:rPr>
        <w:t xml:space="preserve">Tech-Forward Hiring:</w:t>
      </w:r>
    </w:p>
    <w:p>
      <w:pPr>
        <w:numPr>
          <w:ilvl w:val="0"/>
          <w:numId w:val="1003"/>
        </w:numPr>
        <w:pStyle w:val="Compact"/>
      </w:pPr>
      <w:r>
        <w:rPr>
          <w:bCs/>
          <w:b/>
        </w:rPr>
        <w:t xml:space="preserve">Cultural Competence: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Excellence and Regulatory Compliance for Laboratory Technicians in Abu Dhabi</dc:title>
  <dc:creator/>
  <cp:keywords/>
  <dcterms:created xsi:type="dcterms:W3CDTF">2026-07-29T09:32:54Z</dcterms:created>
  <dcterms:modified xsi:type="dcterms:W3CDTF">2026-07-29T09:32:54Z</dcterms:modified>
</cp:coreProperties>
</file>

<file path=docProps/custom.xml><?xml version="1.0" encoding="utf-8"?>
<Properties xmlns="http://schemas.openxmlformats.org/officeDocument/2006/custom-properties" xmlns:vt="http://schemas.openxmlformats.org/officeDocument/2006/docPropsVTypes"/>
</file>