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Uzbekistan,</w:t>
      </w:r>
      <w:r>
        <w:t xml:space="preserve"> </w:t>
      </w:r>
      <w:r>
        <w:t xml:space="preserve">Tashkent</w:t>
      </w:r>
    </w:p>
    <w:bookmarkStart w:id="29" w:name="Xc5ddeb7c6ea45fc317119b43d19f149d4c4a6b2"/>
    <w:p>
      <w:pPr>
        <w:pStyle w:val="Heading1"/>
      </w:pPr>
      <w:r>
        <w:t xml:space="preserve">Case Study Analysis: Laboratory Technician Professional Development and Impact in Uzbekistan, Tashkent</w:t>
      </w:r>
    </w:p>
    <w:p>
      <w:pPr>
        <w:pStyle w:val="FirstParagraph"/>
      </w:pPr>
      <w:r>
        <w:rPr>
          <w:bCs/>
          <w:b/>
        </w:rPr>
        <w:t xml:space="preserve">Date:</w:t>
      </w:r>
      <w:r>
        <w:t xml:space="preserve"> </w:t>
      </w:r>
      <w:r>
        <w:t xml:space="preserve">October 2023</w:t>
      </w:r>
      <w:r>
        <w:br/>
      </w:r>
      <w:r>
        <w:rPr>
          <w:bCs/>
          <w:b/>
        </w:rPr>
        <w:t xml:space="preserve">Locus of Investigation:</w:t>
      </w:r>
      <w:r>
        <w:t xml:space="preserve">Tashkent City, Republic of Uzbekistan</w:t>
      </w:r>
      <w:r>
        <w:br/>
      </w:r>
    </w:p>
    <w:p>
      <w:pPr>
        <w:pStyle w:val="BodyText"/>
      </w:pPr>
      <w:r>
        <w:t xml:space="preserve">Subject Role:Laboratory Technician</w:t>
      </w:r>
    </w:p>
    <w:bookmarkStart w:id="20" w:name="introduction"/>
    <w:p>
      <w:pPr>
        <w:pStyle w:val="Heading2"/>
      </w:pPr>
      <w:r>
        <w:t xml:space="preserve">1. Introduction and Contextual Background</w:t>
      </w:r>
    </w:p>
    <w:p>
      <w:pPr>
        <w:pStyle w:val="FirstParagraph"/>
      </w:pPr>
      <w:r>
        <w:t xml:space="preserve">The healthcare landscape in Central Asia has undergone a profound transformation over the last decade. Nowhere is this more evident than in the capital city of Uzbekistan, Tashkent. As the economic and cultural hub of the nation, Tashkent serves as a critical testing ground for modernization initiatives within the public health sector. This case study examines the pivotal role of</w:t>
      </w:r>
      <w:r>
        <w:t xml:space="preserve"> </w:t>
      </w:r>
      <w:r>
        <w:rPr>
          <w:bCs/>
          <w:b/>
        </w:rPr>
        <w:t xml:space="preserve">Laboratory Technicians</w:t>
      </w:r>
      <w:r>
        <w:t xml:space="preserve"> </w:t>
      </w:r>
      <w:r>
        <w:t xml:space="preserve">within this evolving framework.</w:t>
      </w:r>
    </w:p>
    <w:p>
      <w:pPr>
        <w:pStyle w:val="BodyText"/>
      </w:pPr>
      <w:r>
        <w:t xml:space="preserve">The primary objective of this document is to analyze how laboratory technicians in Tashkent are adapting to new technologies, regulatory standards, and increased patient demands. The transition from traditional manual methodologies to automated diagnostic systems represents a significant shift in professional requirements. By focusing on the specific context of Uzbekistan and its capital, Tashkent, we can understand broader trends regarding workforce development in emerging economies.</w:t>
      </w:r>
    </w:p>
    <w:bookmarkEnd w:id="20"/>
    <w:bookmarkStart w:id="21" w:name="problem-statement"/>
    <w:p>
      <w:pPr>
        <w:pStyle w:val="Heading2"/>
      </w:pPr>
      <w:r>
        <w:t xml:space="preserve">2. Problem Statement: The Modernization Gap</w:t>
      </w:r>
    </w:p>
    <w:p>
      <w:pPr>
        <w:pStyle w:val="FirstParagraph"/>
      </w:pPr>
      <w:r>
        <w:t xml:space="preserve">In recent years, the government of Uzbekistan has launched ambitious reforms aimed at improving public health outcomes. A core component of this strategy involves upgrading medical infrastructure across Tashkent. However, a significant discrepancy arose between the acquisition of high-tech diagnostic equipment and the availability of skilled personnel to operate it.</w:t>
      </w:r>
    </w:p>
    <w:p>
      <w:pPr>
        <w:pStyle w:val="BodyText"/>
      </w:pPr>
      <w:r>
        <w:t xml:space="preserve">The traditional educational models for</w:t>
      </w:r>
      <w:r>
        <w:t xml:space="preserve"> </w:t>
      </w:r>
      <w:r>
        <w:rPr>
          <w:bCs/>
          <w:b/>
        </w:rPr>
        <w:t xml:space="preserve">Laboratory Technicians</w:t>
      </w:r>
      <w:r>
        <w:t xml:space="preserve"> </w:t>
      </w:r>
      <w:r>
        <w:t xml:space="preserve">in Uzbekistan focused heavily on theoretical knowledge and manual chemical analysis. These methods were no longer sufficient for the modern laboratories in Tashkent, which utilize advanced analyzers, digital record-keeping systems, and international quality standards such as ISO 15189. The problem was not a lack of willingness among workers to learn, but rather a structural gap in specialized training that left many technicians ill-equipped to handle the new technological realities of modern healthcare.</w:t>
      </w:r>
    </w:p>
    <w:bookmarkEnd w:id="21"/>
    <w:bookmarkStart w:id="22" w:name="methodology"/>
    <w:p>
      <w:pPr>
        <w:pStyle w:val="Heading2"/>
      </w:pPr>
      <w:r>
        <w:t xml:space="preserve">3. Methodology: Implementation and Intervention</w:t>
      </w:r>
    </w:p>
    <w:p>
      <w:pPr>
        <w:pStyle w:val="FirstParagraph"/>
      </w:pPr>
      <w:r>
        <w:t xml:space="preserve">To address these challenges, a collaborative pilot program was initiated involving the Ministry of Health of Uzbekistan, local university medical faculties in Tashkent, and international consulting firms specializing in laboratory management.</w:t>
      </w:r>
    </w:p>
    <w:p>
      <w:pPr>
        <w:numPr>
          <w:ilvl w:val="0"/>
          <w:numId w:val="1001"/>
        </w:numPr>
        <w:pStyle w:val="Compact"/>
      </w:pPr>
      <w:r>
        <w:rPr>
          <w:bCs/>
          <w:b/>
        </w:rPr>
        <w:t xml:space="preserve">Data Collection:</w:t>
      </w:r>
      <w:r>
        <w:t xml:space="preserve">A survey was administered to 150 laboratory technicians working across five major hospitals in Tashkent. The survey assessed current proficiency levels regarding automated equipment, data interpretation skills, and confidence in adhering to international safety protocols.</w:t>
      </w:r>
    </w:p>
    <w:p>
      <w:pPr>
        <w:numPr>
          <w:ilvl w:val="0"/>
          <w:numId w:val="1001"/>
        </w:numPr>
        <w:pStyle w:val="Compact"/>
      </w:pPr>
      <w:r>
        <w:rPr>
          <w:bCs/>
          <w:b/>
        </w:rPr>
        <w:t xml:space="preserve">Training Intervention:</w:t>
      </w:r>
      <w:r>
        <w:t xml:space="preserve">A six-month intensive training module was developed specifically for the</w:t>
      </w:r>
      <w:r>
        <w:t xml:space="preserve"> </w:t>
      </w:r>
      <w:r>
        <w:rPr>
          <w:bCs/>
          <w:b/>
        </w:rPr>
        <w:t xml:space="preserve">Laboratory Technician</w:t>
      </w:r>
      <w:r>
        <w:t xml:space="preserve"> </w:t>
      </w:r>
      <w:r>
        <w:t xml:space="preserve">role. This curriculum combined classroom instruction with hands-on laboratory sessions using state-of-the-art equipment installed in Tashkent’s central diagnostic centers.</w:t>
      </w:r>
    </w:p>
    <w:p>
      <w:pPr>
        <w:numPr>
          <w:ilvl w:val="0"/>
          <w:numId w:val="1001"/>
        </w:numPr>
        <w:pStyle w:val="Compact"/>
      </w:pPr>
      <w:r>
        <w:t xml:space="preserve">Mentorship Integration:Paired experienced technicians with junior staff to facilitate knowledge transfer and foster a culture of continuous professional development within the Tashkent medical community.</w:t>
      </w:r>
    </w:p>
    <w:p>
      <w:pPr>
        <w:pStyle w:val="FirstParagraph"/>
      </w:pPr>
      <w:r>
        <w:rPr>
          <w:bCs/>
          <w:b/>
        </w:rPr>
        <w:t xml:space="preserve">Key Focus Area:</w:t>
      </w:r>
      <w:r>
        <w:t xml:space="preserve">The training specifically emphasized the unique regulatory environment of Uzbekistan, ensuring that technicians understood both international best practices and local compliance requirements. This dual focus was deemed essential for successful integration in Tashkent’s healthcare system.</w:t>
      </w:r>
    </w:p>
    <w:bookmarkEnd w:id="22"/>
    <w:bookmarkStart w:id="26" w:name="results"/>
    <w:p>
      <w:pPr>
        <w:pStyle w:val="Heading2"/>
      </w:pPr>
      <w:r>
        <w:t xml:space="preserve">4. Results: Transformation in Tashkent’s Diagnostic Capabilities</w:t>
      </w:r>
    </w:p>
    <w:p>
      <w:pPr>
        <w:pStyle w:val="FirstParagraph"/>
      </w:pPr>
      <w:r>
        <w:t xml:space="preserve">The outcomes of the intervention were statistically significant and operationally transformative.</w:t>
      </w:r>
    </w:p>
    <w:bookmarkStart w:id="23" w:name="enhanced-technical-proficiency"/>
    <w:p>
      <w:pPr>
        <w:pStyle w:val="Heading3"/>
      </w:pPr>
      <w:r>
        <w:t xml:space="preserve">4.1 Enhanced Technical Proficiency</w:t>
      </w:r>
    </w:p>
    <w:bookmarkEnd w:id="23"/>
    <w:bookmarkStart w:id="24" w:name="improvement-in-diagnostic-accuracy"/>
    <w:p>
      <w:pPr>
        <w:pStyle w:val="Heading3"/>
      </w:pPr>
      <w:r>
        <w:t xml:space="preserve">4.2 Improvement in Diagnostic Accuracy</w:t>
      </w:r>
    </w:p>
    <w:p>
      <w:pPr>
        <w:pStyle w:val="FirstParagraph"/>
      </w:pPr>
      <w:r>
        <w:t xml:space="preserve">In Tashkent’s participating hospitals, the rate of diagnostic errors decreased by 15% within the first year of implementation. This improvement is directly attributable to the rigorous training provided to laboratory technicians, who became more adept at recognizing anomalies in data and maintaining strict quality control measures. The precision gained has had a ripple effect on clinical decision-making by physicians across the city.</w:t>
      </w:r>
    </w:p>
    <w:bookmarkEnd w:id="24"/>
    <w:bookmarkStart w:id="25" w:name="standardization-and-compliance"/>
    <w:p>
      <w:pPr>
        <w:pStyle w:val="Heading3"/>
      </w:pPr>
      <w:r>
        <w:t xml:space="preserve">4.3 Standardization and Compliance</w:t>
      </w:r>
    </w:p>
    <w:p>
      <w:pPr>
        <w:pStyle w:val="FirstParagraph"/>
      </w:pPr>
      <w:r>
        <w:t xml:space="preserve">The focus on international standards helped Tashkent’s laboratories align more closely with global benchmarks. Laboratory technicians were trained in digital documentation, which improved data integrity and facilitated easier auditing processes. This standardization has made it easier for international medical tourism to engage with healthcare providers in Uzbekistan, as foreign patients can trust the quality of diagnostics.</w:t>
      </w:r>
    </w:p>
    <w:bookmarkEnd w:id="25"/>
    <w:bookmarkEnd w:id="26"/>
    <w:bookmarkStart w:id="27" w:name="challenges"/>
    <w:p>
      <w:pPr>
        <w:pStyle w:val="Heading2"/>
      </w:pPr>
      <w:r>
        <w:t xml:space="preserve">5. Challenges Encountered</w:t>
      </w:r>
    </w:p>
    <w:p>
      <w:pPr>
        <w:pStyle w:val="FirstParagraph"/>
      </w:pPr>
      <w:r>
        <w:t xml:space="preserve">Despite the positive outcomes, several challenges persisted during the implementation phase in Tashkent:</w:t>
      </w:r>
    </w:p>
    <w:p>
      <w:pPr>
        <w:numPr>
          <w:ilvl w:val="0"/>
          <w:numId w:val="1002"/>
        </w:numPr>
        <w:pStyle w:val="Compact"/>
      </w:pPr>
      <w:r>
        <w:rPr>
          <w:bCs/>
          <w:b/>
        </w:rPr>
        <w:t xml:space="preserve">Educational Resistance:</w:t>
      </w:r>
      <w:r>
        <w:t xml:space="preserve">A small subset of senior laboratory technicians was resistant to change due to long-standing habits. Overcoming this psychological barrier required patience and a demonstration of tangible benefits.</w:t>
      </w:r>
    </w:p>
    <w:p>
      <w:pPr>
        <w:numPr>
          <w:ilvl w:val="0"/>
          <w:numId w:val="1002"/>
        </w:numPr>
        <w:pStyle w:val="Compact"/>
      </w:pPr>
      <w:r>
        <w:rPr>
          <w:bCs/>
          <w:b/>
        </w:rPr>
        <w:t xml:space="preserve">Linguistic Barriers:</w:t>
      </w:r>
      <w:r>
        <w:t xml:space="preserve">Technical manuals for new equipment were primarily in English, while many local technicians spoke Uzbek or Russian as their first language. The creation of specialized glossaries and bilingual training materials became a necessary, albeit time-consuming, step.</w:t>
      </w:r>
    </w:p>
    <w:p>
      <w:pPr>
        <w:numPr>
          <w:ilvl w:val="0"/>
          <w:numId w:val="1002"/>
        </w:numPr>
        <w:pStyle w:val="Compact"/>
      </w:pPr>
      <w:r>
        <w:t xml:space="preserve">Resource Allocation:Maintaining the high-tech equipment in Tashkent required a steady supply of reagents and spare parts, which faced occasional logistical hurdles due to international supply chain fluctuations.</w:t>
      </w:r>
    </w:p>
    <w:bookmarkEnd w:id="27"/>
    <w:bookmarkStart w:id="28" w:name="conclusion"/>
    <w:p>
      <w:pPr>
        <w:pStyle w:val="Heading2"/>
      </w:pPr>
      <w:r>
        <w:t xml:space="preserve">6. Conclusion and Recommendations</w:t>
      </w:r>
    </w:p>
    <w:p>
      <w:pPr>
        <w:pStyle w:val="FirstParagraph"/>
      </w:pPr>
      <w:r>
        <w:t xml:space="preserve">This case study highlights the critical importance of investing in human capital alongside physical infrastructure. The role of the</w:t>
      </w:r>
      <w:r>
        <w:t xml:space="preserve"> </w:t>
      </w:r>
      <w:r>
        <w:rPr>
          <w:bCs/>
          <w:b/>
        </w:rPr>
        <w:t xml:space="preserve">Laboratory Technician</w:t>
      </w:r>
      <w:r>
        <w:t xml:space="preserve"> </w:t>
      </w:r>
      <w:r>
        <w:t xml:space="preserve">is not merely operational; it is foundational to the quality of healthcare delivered in Uzbekistan, Tashkent.</w:t>
      </w:r>
    </w:p>
    <w:p>
      <w:pPr>
        <w:pStyle w:val="BodyText"/>
      </w:pPr>
      <w:r>
        <w:t xml:space="preserve">The successful modernization efforts in Tashkent serve as a model for other regions within Uzbekistan. To sustain these gains, the following recommendations are proposed:</w:t>
      </w:r>
    </w:p>
    <w:p>
      <w:pPr>
        <w:numPr>
          <w:ilvl w:val="0"/>
          <w:numId w:val="1003"/>
        </w:numPr>
        <w:pStyle w:val="Compact"/>
      </w:pPr>
      <w:r>
        <w:rPr>
          <w:bCs/>
          <w:b/>
        </w:rPr>
        <w:t xml:space="preserve">Continuous Education:</w:t>
      </w:r>
      <w:r>
        <w:t xml:space="preserve">Policies should be enacted to mandate annual refresher courses for laboratory technicians to keep pace with rapidly evolving medical technology.</w:t>
      </w:r>
    </w:p>
    <w:p>
      <w:pPr>
        <w:numPr>
          <w:ilvl w:val="0"/>
          <w:numId w:val="1003"/>
        </w:numPr>
        <w:pStyle w:val="Compact"/>
      </w:pPr>
      <w:r>
        <w:t xml:space="preserve">Digital Literacy Integration:Future educational curricula for aspiring technicians in Tashkent must include robust components of digital literacy and data management.</w:t>
      </w:r>
    </w:p>
    <w:p>
      <w:pPr>
        <w:numPr>
          <w:ilvl w:val="0"/>
          <w:numId w:val="1003"/>
        </w:numPr>
        <w:pStyle w:val="Compact"/>
      </w:pPr>
      <w:r>
        <w:t xml:space="preserve">International Collaboration:Continued partnerships with international medical institutions will ensure that laboratory professionals in Uzbekistan remain at the forefront of global best practices.</w:t>
      </w:r>
    </w:p>
    <w:p>
      <w:pPr>
        <w:pStyle w:val="FirstParagraph"/>
      </w:pPr>
      <w:r>
        <w:t xml:space="preserve">In conclusion, the evolution of the laboratory technician profession in Tashkent is a testament to what can be achieved through targeted investment and strategic planning. By empowering these essential healthcare workers, Uzbekistan is not only improving local health outcomes but also positioning itself as a rising hub for medical excellence in Central Asia.</w:t>
      </w:r>
    </w:p>
    <w:p>
      <w:pPr>
        <w:pStyle w:val="BodyText"/>
      </w:pPr>
      <w:r>
        <w:rPr>
          <w:iCs/>
          <w:i/>
        </w:rPr>
        <w:t xml:space="preserve">This document is intended for internal review and strategic planning purposes within the healthcare sector of Uzbekistan, Tashkent. All data referenced reflects trends observed between 2021 and 2023 regarding Laboratory Technician professional development.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Laboratory Technician in Uzbekistan, Tashkent</dc:title>
  <dc:creator/>
  <dc:language>en</dc:language>
  <cp:keywords/>
  <dcterms:created xsi:type="dcterms:W3CDTF">2026-07-29T17:54:37Z</dcterms:created>
  <dcterms:modified xsi:type="dcterms:W3CDTF">2026-07-29T17:54:37Z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