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Afghanistan</w:t>
      </w:r>
      <w:r>
        <w:t xml:space="preserve"> </w:t>
      </w:r>
      <w:r>
        <w:t xml:space="preserve">Kabul</w:t>
      </w:r>
    </w:p>
    <w:bookmarkStart w:id="31" w:name="X48a035f09a5401aadfebb4f6b578f81806eda60"/>
    <w:p>
      <w:pPr>
        <w:pStyle w:val="Heading1"/>
      </w:pPr>
      <w:r>
        <w:t xml:space="preserve">Case Study: Navigating Complex Legal Frameworks for a Lawyer in Afghanistan Kabul</w:t>
      </w:r>
    </w:p>
    <w:p>
      <w:pPr>
        <w:pStyle w:val="FirstParagraph"/>
      </w:pPr>
      <w:r>
        <w:rPr>
          <w:bCs/>
          <w:b/>
        </w:rPr>
        <w:t xml:space="preserve">Date:</w:t>
      </w:r>
      <w:r>
        <w:t xml:space="preserve"> </w:t>
      </w:r>
      <w:r>
        <w:t xml:space="preserve">October 2023</w:t>
      </w:r>
      <w:r>
        <w:br/>
      </w:r>
    </w:p>
    <w:p>
      <w:pPr>
        <w:pStyle w:val="BodyText"/>
      </w:pPr>
      <w:r>
        <w:t xml:space="preserve">Jurisdiction:Kabul, Afghanistan</w:t>
      </w:r>
      <w:r>
        <w:br/>
      </w:r>
      <w:r>
        <w:rPr>
          <w:bCs/>
          <w:b/>
        </w:rPr>
        <w:t xml:space="preserve">Subject:</w:t>
      </w:r>
      <w:r>
        <w:t xml:space="preserve"> </w:t>
      </w:r>
      <w:r>
        <w:t xml:space="preserve">Civil Property Dispute and Islamic Contract Law Application</w:t>
      </w:r>
    </w:p>
    <w:bookmarkStart w:id="20" w:name="executive-summary"/>
    <w:p>
      <w:pPr>
        <w:pStyle w:val="Heading2"/>
      </w:pPr>
      <w:r>
        <w:t xml:space="preserve">1. Executive Summary</w:t>
      </w:r>
    </w:p>
    <w:p>
      <w:pPr>
        <w:pStyle w:val="FirstParagraph"/>
      </w:pPr>
      <w:r>
        <w:t xml:space="preserve">This case study examines the intricate challenges faced by a practicing</w:t>
      </w:r>
      <w:r>
        <w:t xml:space="preserve"> </w:t>
      </w:r>
      <w:r>
        <w:rPr>
          <w:bCs/>
          <w:b/>
        </w:rPr>
        <w:t xml:space="preserve">Lawyer</w:t>
      </w:r>
      <w:r>
        <w:t xml:space="preserve">Afghanistan, the volume of commercial litigation here is significantly higher than in rural provinces. Consequently, a</w:t>
      </w:r>
      <w:r>
        <w:t xml:space="preserve"> </w:t>
      </w:r>
      <w:r>
        <w:rPr>
          <w:bCs/>
          <w:b/>
        </w:rPr>
        <w:t xml:space="preserve">Lawyer</w:t>
      </w:r>
      <w:r>
        <w:t xml:space="preserve"> </w:t>
      </w:r>
      <w:r>
        <w:t xml:space="preserve">based in Kabul must possess not only technical legal knowledge but also profound cultural intelligence and diplomatic skill.</w:t>
      </w:r>
    </w:p>
    <w:bookmarkEnd w:id="20"/>
    <w:bookmarkStart w:id="21" w:name="case-background"/>
    <w:p>
      <w:pPr>
        <w:pStyle w:val="Heading2"/>
      </w:pPr>
      <w:r>
        <w:t xml:space="preserve">2. Case Background</w:t>
      </w:r>
    </w:p>
    <w:p>
      <w:pPr>
        <w:pStyle w:val="FirstParagraph"/>
      </w:pPr>
      <w:r>
        <w:t xml:space="preserve">The case involves "Mr. A," a local merchant residing in the Shahr-e-Nau district of Kabul, who entered into a verbal agreement with "Mr. B" to purchase a commercial warehouse located in the Kart-e-4 industrial zone. The transaction was valued at approximately 500 million Afghanis (roughly $5 million USD). Due to the informal nature of many business deals in</w:t>
      </w:r>
      <w:r>
        <w:t xml:space="preserve"> </w:t>
      </w:r>
      <w:r>
        <w:rPr>
          <w:bCs/>
          <w:b/>
        </w:rPr>
        <w:t xml:space="preserve">Afghanistan</w:t>
      </w:r>
      <w:r>
        <w:t xml:space="preserve">, particularly those relying on trust-based community networks, no written contract was initially drawn up.</w:t>
      </w:r>
    </w:p>
    <w:p>
      <w:pPr>
        <w:pStyle w:val="BodyText"/>
      </w:pPr>
      <w:r>
        <w:t xml:space="preserve">Two years later, property values in Kabul surged due to post-conflict reconstruction efforts and increased foreign investment. Mr. B refused to transfer the title deed, citing inflation and claiming the original price was no longer viable under current market conditions. When Mr. A attempted to register the sale with the Ministry of Justice in Kabul, he discovered that Mr. B had listed the property for sale to a third party at double the original price.</w:t>
      </w:r>
    </w:p>
    <w:bookmarkEnd w:id="21"/>
    <w:bookmarkStart w:id="22" w:name="the-legal-challenge"/>
    <w:p>
      <w:pPr>
        <w:pStyle w:val="Heading2"/>
      </w:pPr>
      <w:r>
        <w:t xml:space="preserve">3. The Legal Challenge</w:t>
      </w:r>
    </w:p>
    <w:p>
      <w:pPr>
        <w:pStyle w:val="FirstParagraph"/>
      </w:pPr>
      <w:r>
        <w:t xml:space="preserve">The core difficulty for any</w:t>
      </w:r>
      <w:r>
        <w:t xml:space="preserve"> </w:t>
      </w:r>
      <w:r>
        <w:rPr>
          <w:bCs/>
          <w:b/>
        </w:rPr>
        <w:t xml:space="preserve">Lawyer</w:t>
      </w:r>
      <w:r>
        <w:t xml:space="preserve"> </w:t>
      </w:r>
      <w:r>
        <w:t xml:space="preserve">handling this matter lies in the intersection of statutory law and customary practice. In Afghanistan, while there are civil codes governing contracts, enforcement mechanisms can be slow and bureaucratic. Furthermore, in Kabul’s busy courts, judges often look to Sharia principles when written evidence is lacking or ambiguous.</w:t>
      </w:r>
    </w:p>
    <w:p>
      <w:pPr>
        <w:pStyle w:val="BodyText"/>
      </w:pPr>
      <w:r>
        <w:t xml:space="preserve">The specific challenges included:</w:t>
      </w:r>
    </w:p>
    <w:p>
      <w:pPr>
        <w:numPr>
          <w:ilvl w:val="0"/>
          <w:numId w:val="1001"/>
        </w:numPr>
        <w:pStyle w:val="Compact"/>
      </w:pPr>
      <w:r>
        <w:rPr>
          <w:bCs/>
          <w:b/>
        </w:rPr>
        <w:t xml:space="preserve">Lack of Written Evidence:</w:t>
      </w:r>
      <w:r>
        <w:t xml:space="preserve"> </w:t>
      </w:r>
      <w:r>
        <w:t xml:space="preserve">Under Afghan law, contracts for significant property transfers should be documented. However, oral agreements are sometimes recognized if corroborated by witness testimony and partial performance (such as possession of the land).</w:t>
      </w:r>
    </w:p>
    <w:p>
      <w:pPr>
        <w:numPr>
          <w:ilvl w:val="0"/>
          <w:numId w:val="1001"/>
        </w:numPr>
        <w:pStyle w:val="Compact"/>
      </w:pPr>
      <w:r>
        <w:rPr>
          <w:bCs/>
          <w:b/>
        </w:rPr>
        <w:t xml:space="preserve">Jurisdictional Complexity:</w:t>
      </w:r>
      <w:r>
        <w:t xml:space="preserve"> </w:t>
      </w:r>
      <w:r>
        <w:t xml:space="preserve">The case had to be filed in Kabul courts, but potential interference from local power brokers who might support Mr. B due to their influence in the area.</w:t>
      </w:r>
    </w:p>
    <w:p>
      <w:pPr>
        <w:numPr>
          <w:ilvl w:val="0"/>
          <w:numId w:val="1001"/>
        </w:numPr>
        <w:pStyle w:val="Compact"/>
      </w:pPr>
      <w:r>
        <w:rPr>
          <w:bCs/>
          <w:b/>
        </w:rPr>
        <w:t xml:space="preserve">Cultural Nuances:</w:t>
      </w:r>
      <w:r>
        <w:t xml:space="preserve"> </w:t>
      </w:r>
      <w:r>
        <w:t xml:space="preserve">In</w:t>
      </w:r>
      <w:r>
        <w:t xml:space="preserve"> </w:t>
      </w:r>
      <w:r>
        <w:rPr>
          <w:bCs/>
          <w:b/>
        </w:rPr>
        <w:t xml:space="preserve">Afghanistan Kabul</w:t>
      </w:r>
      <w:r>
        <w:t xml:space="preserve">, resolving disputes through community elders (Jirga style) is often preferred over formal litigation to maintain social harmony. A rigid approach by a</w:t>
      </w:r>
    </w:p>
    <w:p>
      <w:pPr>
        <w:numPr>
          <w:ilvl w:val="0"/>
          <w:numId w:val="1000"/>
        </w:numPr>
        <w:pStyle w:val="Compact"/>
      </w:pPr>
      <w:r>
        <w:t xml:space="preserve">Lawyer could alienate the client or lead to extra-legal retaliation.</w:t>
      </w:r>
    </w:p>
    <w:bookmarkEnd w:id="22"/>
    <w:bookmarkStart w:id="26" w:name="strategic-approach-by-the-lawyer"/>
    <w:p>
      <w:pPr>
        <w:pStyle w:val="Heading2"/>
      </w:pPr>
      <w:r>
        <w:t xml:space="preserve">4. Strategic Approach by the Lawyer</w:t>
      </w:r>
    </w:p>
    <w:p>
      <w:pPr>
        <w:pStyle w:val="FirstParagraph"/>
      </w:pPr>
      <w:r>
        <w:t xml:space="preserve">The retaining attorney, a senior partner at a reputable firm in Kabul, adopted a multi-tiered strategy:</w:t>
      </w:r>
    </w:p>
    <w:bookmarkStart w:id="23" w:name="a.-evidence-gathering-and-corroboration"/>
    <w:p>
      <w:pPr>
        <w:pStyle w:val="Heading3"/>
      </w:pPr>
      <w:r>
        <w:t xml:space="preserve">A. Evidence Gathering and Corroboration</w:t>
      </w:r>
    </w:p>
    <w:p>
      <w:pPr>
        <w:pStyle w:val="FirstParagraph"/>
      </w:pPr>
      <w:r>
        <w:t xml:space="preserve">The first step was to collect all indirect evidence of the transaction. This included bank transfer receipts for the initial down payment, WhatsApp messages discussing the terms (which are admissible in Afghan courts under certain conditions), and affidavits from three neutral witnesses who were present during the verbal agreement. The</w:t>
      </w:r>
      <w:r>
        <w:t xml:space="preserve"> </w:t>
      </w:r>
      <w:r>
        <w:rPr>
          <w:bCs/>
          <w:b/>
        </w:rPr>
        <w:t xml:space="preserve">Lawyer</w:t>
      </w:r>
      <w:r>
        <w:t xml:space="preserve"> </w:t>
      </w:r>
      <w:r>
        <w:t xml:space="preserve">emphasized that while a written contract was ideal, possession and partial payment constituted strong evidence of intent.</w:t>
      </w:r>
    </w:p>
    <w:bookmarkEnd w:id="23"/>
    <w:bookmarkStart w:id="24" w:name="b.-dual-track-litigation"/>
    <w:p>
      <w:pPr>
        <w:pStyle w:val="Heading3"/>
      </w:pPr>
      <w:r>
        <w:t xml:space="preserve">B. Dual Track Litigation</w:t>
      </w:r>
    </w:p>
    <w:p>
      <w:pPr>
        <w:pStyle w:val="FirstParagraph"/>
      </w:pPr>
      <w:r>
        <w:t xml:space="preserve">The attorney filed a formal lawsuit in the Kabul Primary Court for specific performance of the contract. Simultaneously, recognizing the importance of social capital in Kabul society, he initiated mediation talks through a respected community elder who had connections with both parties. This dual approach ensured that if court proceedings stalled due to bureaucratic delays—a common occurrence in</w:t>
      </w:r>
      <w:r>
        <w:t xml:space="preserve"> </w:t>
      </w:r>
      <w:r>
        <w:rPr>
          <w:bCs/>
          <w:b/>
        </w:rPr>
        <w:t xml:space="preserve">Afghanistan</w:t>
      </w:r>
      <w:r>
        <w:t xml:space="preserve">—there was a parallel avenue for resolution.</w:t>
      </w:r>
    </w:p>
    <w:bookmarkEnd w:id="24"/>
    <w:bookmarkStart w:id="25" w:name="c.-application-of-sharia-principles"/>
    <w:p>
      <w:pPr>
        <w:pStyle w:val="Heading3"/>
      </w:pPr>
      <w:r>
        <w:t xml:space="preserve">C. Application of Sharia Principles</w:t>
      </w:r>
    </w:p>
    <w:p>
      <w:pPr>
        <w:pStyle w:val="FirstParagraph"/>
      </w:pPr>
      <w:r>
        <w:t xml:space="preserve">In the courtroom, the argument focused on the Islamic legal concept of "Bay'" (sale) and "Ijab wa Qubul" (offer and acceptance). The lawyer argued that since Mr. A had taken physical possession of a portion of the warehouse for storage, Mr. B’s attempt to renege constituted a violation of trust ("Amanah"), which is strictly prohibited in Islamic law prevalent in Kabul.</w:t>
      </w:r>
    </w:p>
    <w:bookmarkEnd w:id="25"/>
    <w:bookmarkEnd w:id="26"/>
    <w:bookmarkStart w:id="27" w:name="outcome-and-resolution"/>
    <w:p>
      <w:pPr>
        <w:pStyle w:val="Heading2"/>
      </w:pPr>
      <w:r>
        <w:t xml:space="preserve">5. Outcome and Resolution</w:t>
      </w:r>
    </w:p>
    <w:p>
      <w:pPr>
        <w:pStyle w:val="FirstParagraph"/>
      </w:pPr>
      <w:r>
        <w:t xml:space="preserve">The case concluded after eight months. The formal court hearing resulted in a preliminary injunction preventing Mr. B from selling the property to the third party. However, fearing prolonged litigation and potential backlash from their community ties, Mr. B agreed to the mediation process proposed by the</w:t>
      </w:r>
      <w:r>
        <w:t xml:space="preserve"> </w:t>
      </w:r>
      <w:r>
        <w:rPr>
          <w:bCs/>
          <w:b/>
        </w:rPr>
        <w:t xml:space="preserve">Lawyer</w:t>
      </w:r>
      <w:r>
        <w:t xml:space="preserve">.</w:t>
      </w:r>
    </w:p>
    <w:p>
      <w:pPr>
        <w:pStyle w:val="BodyText"/>
      </w:pPr>
      <w:r>
        <w:t xml:space="preserve">The final settlement required Mr. B to complete the title transfer within 30 days at a slightly adjusted price (a 5% increase), acknowledging market realities while upholding the sanctity of his original word. The resolution was documented formally in both a court order and a community mediation agreement, ensuring enforceability by state authorities and social legitimacy among peers.</w:t>
      </w:r>
    </w:p>
    <w:bookmarkEnd w:id="27"/>
    <w:bookmarkStart w:id="28" w:name="X797287344783ab772219d2ae9039586534192e4"/>
    <w:p>
      <w:pPr>
        <w:pStyle w:val="Heading2"/>
      </w:pPr>
      <w:r>
        <w:t xml:space="preserve">6. Analysis: The Role of the Lawyer in Afghanistan Kabul</w:t>
      </w:r>
    </w:p>
    <w:p>
      <w:pPr>
        <w:pStyle w:val="FirstParagraph"/>
      </w:pPr>
      <w:r>
        <w:t xml:space="preserve">This case highlights several critical competencies required for any competent lawyer operating in Kabul:</w:t>
      </w:r>
    </w:p>
    <w:p>
      <w:pPr>
        <w:numPr>
          <w:ilvl w:val="0"/>
          <w:numId w:val="1002"/>
        </w:numPr>
        <w:pStyle w:val="Compact"/>
      </w:pPr>
      <w:r>
        <w:rPr>
          <w:bCs/>
          <w:b/>
        </w:rPr>
        <w:t xml:space="preserve">Navigating Hybrid Systems:</w:t>
      </w:r>
      <w:r>
        <w:t xml:space="preserve">A lawyer must understand both the formal judicial hierarchy of Afghanistan and the informal dispute resolution mechanisms that dominate daily life in Kabul.</w:t>
      </w:r>
    </w:p>
    <w:p>
      <w:pPr>
        <w:numPr>
          <w:ilvl w:val="0"/>
          <w:numId w:val="1002"/>
        </w:numPr>
        <w:pStyle w:val="Compact"/>
      </w:pPr>
      <w:r>
        <w:rPr>
          <w:bCs/>
          <w:b/>
        </w:rPr>
        <w:t xml:space="preserve">Cultural Diplomacy:</w:t>
      </w:r>
      <w:r>
        <w:t xml:space="preserve">In a city like Kabul, where family and tribal affiliations are strong, a lawyer acts not just as a legal advocate but often as a mediator. Aggressive litigation can sometimes damage the client’s social standing; therefore, strategic patience is key.</w:t>
      </w:r>
    </w:p>
    <w:p>
      <w:pPr>
        <w:numPr>
          <w:ilvl w:val="0"/>
          <w:numId w:val="1002"/>
        </w:numPr>
        <w:pStyle w:val="Compact"/>
      </w:pPr>
      <w:r>
        <w:rPr>
          <w:bCs/>
          <w:b/>
        </w:rPr>
        <w:t xml:space="preserve">Adaptability:</w:t>
      </w:r>
      <w:r>
        <w:t xml:space="preserve">The legal environment in Afghanistan is fluid. Policies change, and judicial interpretations can vary based on the prevailing political climate in Kabul. A successful lawyer must stay agile and updated on recent decrees from the Ministry of Justice.</w:t>
      </w:r>
    </w:p>
    <w:bookmarkEnd w:id="28"/>
    <w:bookmarkStart w:id="29" w:name="conclusion"/>
    <w:p>
      <w:pPr>
        <w:pStyle w:val="Heading2"/>
      </w:pPr>
      <w:r>
        <w:t xml:space="preserve">7. Conclusion</w:t>
      </w:r>
    </w:p>
    <w:p>
      <w:pPr>
        <w:pStyle w:val="FirstParagraph"/>
      </w:pPr>
      <w:r>
        <w:t xml:space="preserve">The case of Mr. A versus Mr. B serves as a prime example for any aspiring or practicing lawyer in Afghanistan Kabul. It demonstrates that success in this region is rarely about merely citing statutes; it is about weaving legal argumentation with cultural understanding and religious ethics.</w:t>
      </w:r>
    </w:p>
    <w:p>
      <w:pPr>
        <w:pStyle w:val="BodyText"/>
      </w:pPr>
      <w:r>
        <w:t xml:space="preserve">For the legal community in Kabul, the lesson is clear: Justice in Afghanistan requires more than just knowledge of the law; it requires a deep respect for the human element involved in every dispute. Whether dealing with high-profile commercial entities or ordinary citizens, a lawyer must balance firmness with empathy to achieve sustainable outcomes. As Kabul continues to evolve economically and socially, the role of the legal professional will remain pivotal in stabilizing business relations and protecting individual rights within this complex jurisdiction.</w:t>
      </w:r>
    </w:p>
    <w:bookmarkEnd w:id="29"/>
    <w:bookmarkStart w:id="30" w:name="recommendations-for-future-cases"/>
    <w:p>
      <w:pPr>
        <w:pStyle w:val="Heading2"/>
      </w:pPr>
      <w:r>
        <w:t xml:space="preserve">8. Recommendations for Future Cases</w:t>
      </w:r>
    </w:p>
    <w:p>
      <w:pPr>
        <w:numPr>
          <w:ilvl w:val="0"/>
          <w:numId w:val="1003"/>
        </w:numPr>
        <w:pStyle w:val="Compact"/>
      </w:pPr>
      <w:r>
        <w:rPr>
          <w:bCs/>
          <w:b/>
        </w:rPr>
        <w:t xml:space="preserve">Prioritize Documentation:</w:t>
      </w:r>
      <w:r>
        <w:t xml:space="preserve"> </w:t>
      </w:r>
      <w:r>
        <w:t xml:space="preserve">Lawyers should educate clients in Kabul on the importance of written contracts to avoid reliance on oral testimony.</w:t>
      </w:r>
    </w:p>
    <w:p>
      <w:pPr>
        <w:numPr>
          <w:ilvl w:val="0"/>
          <w:numId w:val="1003"/>
        </w:numPr>
        <w:pStyle w:val="Compact"/>
      </w:pPr>
      <w:r>
        <w:rPr>
          <w:bCs/>
          <w:b/>
        </w:rPr>
        <w:t xml:space="preserve">Leverage Mediation:</w:t>
      </w:r>
      <w:r>
        <w:t xml:space="preserve">In property disputes, early mediation can save years of court time and preserve social harmony.</w:t>
      </w:r>
    </w:p>
    <w:p>
      <w:pPr>
        <w:numPr>
          <w:ilvl w:val="0"/>
          <w:numId w:val="1003"/>
        </w:numPr>
        <w:pStyle w:val="Compact"/>
      </w:pPr>
      <w:r>
        <w:rPr>
          <w:bCs/>
          <w:b/>
        </w:rPr>
        <w:t xml:space="preserve">Cross-Departmental Collaboration:</w:t>
      </w:r>
      <w:r>
        <w:t xml:space="preserve"> </w:t>
      </w:r>
      <w:r>
        <w:t xml:space="preserve">Working with notaries and land registry officials in Kabul before litigation begins can often prevent fraudulent double-selling.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Afghanistan Kabul</dc:title>
  <dc:creator/>
  <dc:language>en</dc:language>
  <cp:keywords/>
  <dcterms:created xsi:type="dcterms:W3CDTF">2026-07-29T17:54:15Z</dcterms:created>
  <dcterms:modified xsi:type="dcterms:W3CDTF">2026-07-29T17:54:15Z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