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Algeria</w:t>
      </w:r>
      <w:r>
        <w:t xml:space="preserve"> </w:t>
      </w:r>
      <w:r>
        <w:t xml:space="preserve">Algiers</w:t>
      </w:r>
    </w:p>
    <w:bookmarkStart w:id="31" w:name="X9921635255d650d6e7295d2b4ef2018c5e21e4e"/>
    <w:p>
      <w:pPr>
        <w:pStyle w:val="Heading1"/>
      </w:pPr>
      <w:r>
        <w:t xml:space="preserve">Case Study: Strategic Legal Representation and Complex Commercial Litigation in Algeria, Algiers</w:t>
      </w:r>
    </w:p>
    <w:p>
      <w:pPr>
        <w:pStyle w:val="FirstParagraph"/>
      </w:pPr>
      <w:r>
        <w:rPr>
          <w:bCs/>
          <w:b/>
        </w:rPr>
        <w:t xml:space="preserve">Date:</w:t>
      </w:r>
      <w:r>
        <w:t xml:space="preserve"> </w:t>
      </w:r>
      <w:r>
        <w:t xml:space="preserve">October 2023</w:t>
      </w:r>
      <w:r>
        <w:br/>
      </w:r>
      <w:r>
        <w:rPr>
          <w:bCs/>
          <w:b/>
        </w:rPr>
        <w:t xml:space="preserve">Jurisdiction:The People's Democratic Republic of Algeria, Wilaya of Algiers</w:t>
      </w:r>
      <w:r>
        <w:br/>
      </w:r>
      <w:r>
        <w:rPr>
          <w:bCs/>
          <w:b/>
          <w:bCs/>
          <w:b/>
        </w:rPr>
        <w:t xml:space="preserve">Firm Name:</w:t>
      </w:r>
      <w:r>
        <w:rPr>
          <w:bCs/>
          <w:b/>
        </w:rPr>
        <w:t xml:space="preserve"> </w:t>
      </w:r>
      <w:r>
        <w:rPr>
          <w:bCs/>
          <w:b/>
        </w:rPr>
        <w:t xml:space="preserve">Atlas &amp; Associates Legal Counsel</w:t>
      </w:r>
      <w:r>
        <w:br/>
      </w:r>
    </w:p>
    <w:bookmarkStart w:id="20" w:name="executive-summary"/>
    <w:p>
      <w:pPr>
        <w:pStyle w:val="Heading3"/>
      </w:pPr>
      <w:r>
        <w:t xml:space="preserve">1. Executive Summary</w:t>
      </w:r>
    </w:p>
    <w:p>
      <w:pPr>
        <w:pStyle w:val="FirstParagraph"/>
      </w:pPr>
      <w:r>
        <w:t xml:space="preserve">This case study examines a complex commercial litigation matter involving an international joint venture dispute situated within the dynamic economic landscape of Algeria, specifically in its capital city, Algiers. The primary objective was to navigate the intricate statutory framework of Algerian civil and commercial law while managing high-stakes negotiations between local entities and foreign investors. This document highlights the critical role of a specialized</w:t>
      </w:r>
      <w:r>
        <w:t xml:space="preserve"> </w:t>
      </w:r>
      <w:r>
        <w:rPr>
          <w:bCs/>
          <w:b/>
        </w:rPr>
        <w:t xml:space="preserve">lawyer</w:t>
      </w:r>
      <w:r>
        <w:t xml:space="preserve"> </w:t>
      </w:r>
      <w:r>
        <w:t xml:space="preserve">in bridging cultural and legal gaps within</w:t>
      </w:r>
      <w:r>
        <w:t xml:space="preserve"> </w:t>
      </w:r>
      <w:r>
        <w:rPr>
          <w:bCs/>
          <w:b/>
        </w:rPr>
        <w:t xml:space="preserve">Algeria, Algiers</w:t>
      </w:r>
      <w:r>
        <w:t xml:space="preserve">, ensuring compliance with recent regulatory reforms while protecting client interests.</w:t>
      </w:r>
    </w:p>
    <w:bookmarkEnd w:id="20"/>
    <w:bookmarkStart w:id="21" w:name="background-of-the-case"/>
    <w:p>
      <w:pPr>
        <w:pStyle w:val="Heading3"/>
      </w:pPr>
      <w:r>
        <w:t xml:space="preserve">2. Background of the Case</w:t>
      </w:r>
    </w:p>
    <w:p>
      <w:pPr>
        <w:pStyle w:val="FirstParagraph"/>
      </w:pPr>
      <w:r>
        <w:t xml:space="preserve">The case involved "EcoBuild Algeria," a local construction consortium registered in the Wilaya of Algiers, and "Nordic Infrastructure Group," a Scandinavian firm seeking to partner on a major infrastructure development project along the coastal corridor of</w:t>
      </w:r>
      <w:r>
        <w:t xml:space="preserve"> </w:t>
      </w:r>
      <w:r>
        <w:rPr>
          <w:bCs/>
          <w:b/>
        </w:rPr>
        <w:t xml:space="preserve">Algeria, Algiers</w:t>
      </w:r>
      <w:r>
        <w:t xml:space="preserve">. The partnership agreement stipulated significant capital injection and technology transfer. However, disputes arose regarding profit distribution and compliance with local content requirements mandated by the Algerian government.</w:t>
      </w:r>
    </w:p>
    <w:p>
      <w:pPr>
        <w:pStyle w:val="BodyText"/>
      </w:pPr>
      <w:r>
        <w:t xml:space="preserve">The conflict escalated when Nordic Infrastructure Group alleged breach of contract due to perceived delays caused by EcoBuild Algeria. Conversely, EcoBuild argued that delays were induced by bureaucratic hurdles inherent in the administrative procedures of</w:t>
      </w:r>
      <w:r>
        <w:t xml:space="preserve"> </w:t>
      </w:r>
      <w:r>
        <w:rPr>
          <w:bCs/>
          <w:b/>
        </w:rPr>
        <w:t xml:space="preserve">Algeria, Algiers</w:t>
      </w:r>
      <w:r>
        <w:t xml:space="preserve">. The dispute threatened not only the financial viability of the project but also posed reputational risks for both parties within the broader North African market.</w:t>
      </w:r>
    </w:p>
    <w:bookmarkEnd w:id="21"/>
    <w:bookmarkStart w:id="22" w:name="legal-challenges-in-algeria-algiers"/>
    <w:p>
      <w:pPr>
        <w:pStyle w:val="Heading3"/>
      </w:pPr>
      <w:r>
        <w:t xml:space="preserve">3. Legal Challenges in Algeria, Algiers</w:t>
      </w:r>
    </w:p>
    <w:p>
      <w:pPr>
        <w:pStyle w:val="FirstParagraph"/>
      </w:pPr>
      <w:r>
        <w:t xml:space="preserve">Navigating the legal system in</w:t>
      </w:r>
      <w:r>
        <w:t xml:space="preserve"> </w:t>
      </w:r>
      <w:r>
        <w:rPr>
          <w:bCs/>
          <w:b/>
        </w:rPr>
        <w:t xml:space="preserve">Algeria, Algiers</w:t>
      </w:r>
      <w:r>
        <w:t xml:space="preserve">, presents unique challenges that require profound local expertise. The primary issues identified included:</w:t>
      </w:r>
    </w:p>
    <w:p>
      <w:pPr>
        <w:numPr>
          <w:ilvl w:val="0"/>
          <w:numId w:val="1001"/>
        </w:numPr>
        <w:pStyle w:val="Compact"/>
      </w:pPr>
      <w:r>
        <w:rPr>
          <w:bCs/>
          <w:b/>
        </w:rPr>
        <w:t xml:space="preserve">Jurisdictional Nuances:</w:t>
      </w:r>
      <w:r>
        <w:t xml:space="preserve"> </w:t>
      </w:r>
      <w:r>
        <w:t xml:space="preserve">Understanding the specific procedural rules of the Tribunal of First Instance in Algiers versus commercial arbitration bodies.</w:t>
      </w:r>
    </w:p>
    <w:p>
      <w:pPr>
        <w:numPr>
          <w:ilvl w:val="0"/>
          <w:numId w:val="1001"/>
        </w:numPr>
        <w:pStyle w:val="Compact"/>
      </w:pPr>
      <w:r>
        <w:rPr>
          <w:bCs/>
          <w:b/>
        </w:rPr>
        <w:t xml:space="preserve">Civil Code Interpretation:</w:t>
      </w:r>
      <w:r>
        <w:t xml:space="preserve"> </w:t>
      </w:r>
      <w:r>
        <w:t xml:space="preserve">Algerian law is heavily influenced by French civil law traditions mixed with Islamic jurispr principles. Misinterpretation can lead to significant liabilities.</w:t>
      </w:r>
    </w:p>
    <w:p>
      <w:pPr>
        <w:numPr>
          <w:ilvl w:val="0"/>
          <w:numId w:val="1001"/>
        </w:numPr>
        <w:pStyle w:val="Compact"/>
      </w:pPr>
      <w:r>
        <w:rPr>
          <w:bCs/>
          <w:b/>
        </w:rPr>
        <w:t xml:space="preserve">Administrative Friction:</w:t>
      </w:r>
      <w:r>
        <w:t xml:space="preserve"> </w:t>
      </w:r>
      <w:r>
        <w:t xml:space="preserve">In</w:t>
      </w:r>
    </w:p>
    <w:p>
      <w:pPr>
        <w:numPr>
          <w:ilvl w:val="0"/>
          <w:numId w:val="1000"/>
        </w:numPr>
        <w:pStyle w:val="Compact"/>
      </w:pPr>
      <w:r>
        <w:t xml:space="preserve">Algeria, Algiers, regulatory compliance often intersects with administrative discretion, requiring a lawyer skilled in both litigation and administrative advocacy.</w:t>
      </w:r>
    </w:p>
    <w:p>
      <w:pPr>
        <w:numPr>
          <w:ilvl w:val="0"/>
          <w:numId w:val="1001"/>
        </w:numPr>
        <w:pStyle w:val="Compact"/>
      </w:pPr>
      <w:r>
        <w:t xml:space="preserve">Cross-Border Enforcement:</w:t>
      </w:r>
    </w:p>
    <w:p>
      <w:pPr>
        <w:pStyle w:val="FirstParagraph"/>
      </w:pPr>
      <w:r>
        <w:t xml:space="preserve">The enforceability of foreign judgments remains a complex area under Algerian law, necessitating careful drafting of arbitration clauses from the outset.</w:t>
      </w:r>
    </w:p>
    <w:bookmarkEnd w:id="22"/>
    <w:bookmarkStart w:id="26" w:name="the-role-of-the-lawyer"/>
    <w:p>
      <w:pPr>
        <w:pStyle w:val="Heading3"/>
      </w:pPr>
      <w:r>
        <w:t xml:space="preserve">4. The Role of the Lawyer</w:t>
      </w:r>
    </w:p>
    <w:p>
      <w:pPr>
        <w:pStyle w:val="FirstParagraph"/>
      </w:pPr>
      <w:r>
        <w:t xml:space="preserve">The engagement required a senior</w:t>
      </w:r>
      <w:r>
        <w:t xml:space="preserve"> </w:t>
      </w:r>
      <w:r>
        <w:rPr>
          <w:bCs/>
          <w:b/>
        </w:rPr>
        <w:t xml:space="preserve">lawyer</w:t>
      </w:r>
      <w:r>
        <w:t xml:space="preserve">, fluent in Arabic, French, and English, with extensive experience in commercial law within the capital region. The lawyer’s approach was multifaceted:</w:t>
      </w:r>
    </w:p>
    <w:bookmarkStart w:id="23" w:name="Xc1023176b1e67b410004b933e1e978ad076d0a0"/>
    <w:p>
      <w:pPr>
        <w:pStyle w:val="Heading4"/>
      </w:pPr>
      <w:r>
        <w:t xml:space="preserve">A. Strategic Assessment and Due Diligence</w:t>
      </w:r>
    </w:p>
    <w:p>
      <w:pPr>
        <w:pStyle w:val="FirstParagraph"/>
      </w:pPr>
      <w:r>
        <w:t xml:space="preserve">Upon retainer, the</w:t>
      </w:r>
      <w:r>
        <w:t xml:space="preserve"> </w:t>
      </w:r>
      <w:r>
        <w:rPr>
          <w:bCs/>
          <w:b/>
        </w:rPr>
        <w:t xml:space="preserve">lawyer</w:t>
      </w:r>
      <w:r>
        <w:t xml:space="preserve"> </w:t>
      </w:r>
      <w:r>
        <w:t xml:space="preserve">conducted a comprehensive review of the joint venture agreement against current Algerian regulations in</w:t>
      </w:r>
      <w:r>
        <w:t xml:space="preserve"> </w:t>
      </w:r>
      <w:r>
        <w:rPr>
          <w:bCs/>
          <w:b/>
        </w:rPr>
        <w:t xml:space="preserve">Algeria, Algiers</w:t>
      </w:r>
      <w:r>
        <w:t xml:space="preserve">. This included analyzing recent amendments to the Foreign Investment Law which had shifted certain sectors toward mandatory local partnership. The lawyer identified that while the foreign partner had compliance issues, the local partner had failed to adequately document administrative delays, a critical evidentiary gap.</w:t>
      </w:r>
    </w:p>
    <w:bookmarkEnd w:id="23"/>
    <w:bookmarkStart w:id="24" w:name="b.-negotiation-and-mediation"/>
    <w:p>
      <w:pPr>
        <w:pStyle w:val="Heading4"/>
      </w:pPr>
      <w:r>
        <w:t xml:space="preserve">B. Negotiation and Mediation</w:t>
      </w:r>
    </w:p>
    <w:p>
      <w:pPr>
        <w:pStyle w:val="FirstParagraph"/>
      </w:pPr>
      <w:r>
        <w:t xml:space="preserve">Litigation in Algeria can be protracted. Therefore, the</w:t>
      </w:r>
      <w:r>
        <w:t xml:space="preserve"> </w:t>
      </w:r>
      <w:r>
        <w:rPr>
          <w:bCs/>
          <w:b/>
        </w:rPr>
        <w:t xml:space="preserve">lawyer</w:t>
      </w:r>
      <w:r>
        <w:t xml:space="preserve"> </w:t>
      </w:r>
      <w:r>
        <w:t xml:space="preserve">initiated private mediation sessions. Leveraging relationships within the business community of Algiers, the lawyer facilitated dialogue between stakeholders. The goal was to preserve the commercial relationship while adjusting financial terms to reflect reality rather than contractual idealism.</w:t>
      </w:r>
    </w:p>
    <w:bookmarkEnd w:id="24"/>
    <w:bookmarkStart w:id="25" w:name="c.-litigation-strategy-in-algiers-courts"/>
    <w:p>
      <w:pPr>
        <w:pStyle w:val="Heading4"/>
      </w:pPr>
      <w:r>
        <w:t xml:space="preserve">C. Litigation Strategy in Algiers Courts</w:t>
      </w:r>
    </w:p>
    <w:p>
      <w:pPr>
        <w:pStyle w:val="FirstParagraph"/>
      </w:pPr>
      <w:r>
        <w:t xml:space="preserve">When mediation stalled, the</w:t>
      </w:r>
      <w:r>
        <w:t xml:space="preserve"> </w:t>
      </w:r>
      <w:r>
        <w:rPr>
          <w:bCs/>
          <w:b/>
        </w:rPr>
        <w:t xml:space="preserve">lawyer</w:t>
      </w:r>
      <w:r>
        <w:t xml:space="preserve"> </w:t>
      </w:r>
      <w:r>
        <w:t xml:space="preserve">prepared for litigation at the Algiers Commercial Court. The strategy focused on:</w:t>
      </w:r>
    </w:p>
    <w:p>
      <w:pPr>
        <w:pStyle w:val="BodyText"/>
      </w:pPr>
      <w:r>
        <w:t xml:space="preserve">Demonstrating force majeure circumstances due to administrative delays.</w:t>
      </w:r>
    </w:p>
    <w:p>
      <w:pPr>
        <w:pStyle w:val="BodyText"/>
      </w:pPr>
      <w:r>
        <w:t xml:space="preserve">Citing precedents from Algerian courts that favor local partners in cases of regulatory uncertainty.</w:t>
      </w:r>
    </w:p>
    <w:p>
      <w:pPr>
        <w:pStyle w:val="BodyText"/>
      </w:pPr>
      <w:r>
        <w:t xml:space="preserve">The lawyer drafted pleadings in Arabic, ensuring precise legal terminology acceptable to local judges, while simultaneously providing French translations for any international arbitrators potentially involved later. This bilingual precision was crucial, as mistranslations have historically derailed cases in</w:t>
      </w:r>
      <w:r>
        <w:t xml:space="preserve"> </w:t>
      </w:r>
      <w:r>
        <w:rPr>
          <w:bCs/>
          <w:b/>
        </w:rPr>
        <w:t xml:space="preserve">Algeria, Algiers</w:t>
      </w:r>
      <w:r>
        <w:t xml:space="preserve">.</w:t>
      </w:r>
    </w:p>
    <w:bookmarkEnd w:id="25"/>
    <w:bookmarkEnd w:id="26"/>
    <w:bookmarkStart w:id="27" w:name="execution-and-process"/>
    <w:p>
      <w:pPr>
        <w:pStyle w:val="Heading3"/>
      </w:pPr>
      <w:r>
        <w:t xml:space="preserve">5. Execution and Process</w:t>
      </w:r>
    </w:p>
    <w:p>
      <w:pPr>
        <w:pStyle w:val="FirstParagraph"/>
      </w:pPr>
      <w:r>
        <w:t xml:space="preserve">The legal proceedings unfolded over eighteen months. The</w:t>
      </w:r>
      <w:r>
        <w:t xml:space="preserve"> </w:t>
      </w:r>
      <w:r>
        <w:rPr>
          <w:bCs/>
          <w:b/>
        </w:rPr>
        <w:t xml:space="preserve">lawyer</w:t>
      </w:r>
      <w:r>
        <w:t xml:space="preserve">’s presence was constant, attending hearings in the central judicial complex of Algiers and coordinating with notaries for document authentication. A significant hurdle was the requirement for certain contracts to be notarized in accordance with strict local formalities. The</w:t>
      </w:r>
      <w:r>
        <w:t xml:space="preserve"> </w:t>
      </w:r>
      <w:r>
        <w:rPr>
          <w:bCs/>
          <w:b/>
        </w:rPr>
        <w:t xml:space="preserve">lawyer</w:t>
      </w:r>
      <w:r>
        <w:t xml:space="preserve"> </w:t>
      </w:r>
      <w:r>
        <w:t xml:space="preserve">rectified documentation errors that threatened to dismiss the case on procedural grounds.</w:t>
      </w:r>
    </w:p>
    <w:p>
      <w:pPr>
        <w:pStyle w:val="BodyText"/>
      </w:pPr>
      <w:r>
        <w:t xml:space="preserve">Furthermore, the lawyer engaged expert witnesses familiar with construction timelines in North Africa to counter claims of negligence. These experts provided testimony aligned with international standards but interpreted through the lens of local market conditions, a tactic approved by the judges in Algiers.</w:t>
      </w:r>
    </w:p>
    <w:bookmarkEnd w:id="27"/>
    <w:bookmarkStart w:id="28" w:name="outcome"/>
    <w:p>
      <w:pPr>
        <w:pStyle w:val="Heading3"/>
      </w:pPr>
      <w:r>
        <w:t xml:space="preserve">6. Outcome</w:t>
      </w:r>
    </w:p>
    <w:p>
      <w:pPr>
        <w:pStyle w:val="FirstParagraph"/>
      </w:pPr>
      <w:r>
        <w:t xml:space="preserve">The case concluded with a favorable settlement mediated by the court shortly before final judgment. The terms included:</w:t>
      </w:r>
    </w:p>
    <w:p>
      <w:pPr>
        <w:numPr>
          <w:ilvl w:val="0"/>
          <w:numId w:val="1002"/>
        </w:numPr>
        <w:pStyle w:val="Compact"/>
      </w:pPr>
      <w:r>
        <w:t xml:space="preserve">A revised profit-sharing model that acknowledged EcoBuild Algeria’s operational efforts despite administrative delays.</w:t>
      </w:r>
    </w:p>
    <w:p>
      <w:pPr>
        <w:numPr>
          <w:ilvl w:val="0"/>
          <w:numId w:val="1002"/>
        </w:numPr>
        <w:pStyle w:val="Compact"/>
      </w:pPr>
      <w:r>
        <w:t xml:space="preserve">Nordic Infrastructure Group retained majority control but agreed to extended payment timelines.</w:t>
      </w:r>
    </w:p>
    <w:p>
      <w:pPr>
        <w:numPr>
          <w:ilvl w:val="0"/>
          <w:numId w:val="1002"/>
        </w:numPr>
        <w:pStyle w:val="Compact"/>
      </w:pPr>
      <w:r>
        <w:t xml:space="preserve">Both parties agreed to amend future contracts to include clearer dispute resolution mechanisms tailored for</w:t>
      </w:r>
      <w:r>
        <w:t xml:space="preserve"> </w:t>
      </w:r>
      <w:r>
        <w:rPr>
          <w:bCs/>
          <w:b/>
        </w:rPr>
        <w:t xml:space="preserve">Algeria, Algiers</w:t>
      </w:r>
      <w:r>
        <w:t xml:space="preserve">.</w:t>
      </w:r>
    </w:p>
    <w:p>
      <w:pPr>
        <w:pStyle w:val="FirstParagraph"/>
      </w:pPr>
      <w:r>
        <w:t xml:space="preserve">The</w:t>
      </w:r>
      <w:r>
        <w:t xml:space="preserve"> </w:t>
      </w:r>
      <w:r>
        <w:rPr>
          <w:bCs/>
          <w:b/>
        </w:rPr>
        <w:t xml:space="preserve">lawyer</w:t>
      </w:r>
      <w:r>
        <w:t xml:space="preserve">’s ability to blend aggressive litigation preparation with diplomatic negotiation proved decisive. The outcome preserved the project’s continuity and set a precedent for handling foreign-local partnerships in the capital.</w:t>
      </w:r>
    </w:p>
    <w:bookmarkEnd w:id="28"/>
    <w:bookmarkStart w:id="29" w:name="analysis-and-lessons-learned"/>
    <w:p>
      <w:pPr>
        <w:pStyle w:val="Heading3"/>
      </w:pPr>
      <w:r>
        <w:t xml:space="preserve">7. Analysis and Lessons Learned</w:t>
      </w:r>
    </w:p>
    <w:p>
      <w:pPr>
        <w:pStyle w:val="FirstParagraph"/>
      </w:pPr>
      <w:r>
        <w:t xml:space="preserve">This case underscores several critical lessons for legal practitioners operating in</w:t>
      </w:r>
      <w:r>
        <w:t xml:space="preserve"> </w:t>
      </w:r>
      <w:r>
        <w:rPr>
          <w:bCs/>
          <w:b/>
        </w:rPr>
        <w:t xml:space="preserve">Algeria, Algiers</w:t>
      </w:r>
      <w:r>
        <w:t xml:space="preserve">:</w:t>
      </w:r>
    </w:p>
    <w:p>
      <w:pPr>
        <w:numPr>
          <w:ilvl w:val="0"/>
          <w:numId w:val="1003"/>
        </w:numPr>
        <w:pStyle w:val="Compact"/>
      </w:pPr>
      <w:r>
        <w:t xml:space="preserve">The importance of cultural fluency alongside legal expertise. A</w:t>
      </w:r>
      <w:r>
        <w:t xml:space="preserve"> </w:t>
      </w:r>
      <w:r>
        <w:rPr>
          <w:bCs/>
          <w:b/>
        </w:rPr>
        <w:t xml:space="preserve">lawyer</w:t>
      </w:r>
      <w:r>
        <w:t xml:space="preserve"> </w:t>
      </w:r>
      <w:r>
        <w:t xml:space="preserve">must understand the nuances of business etiquette in Algiers.</w:t>
      </w:r>
    </w:p>
    <w:p>
      <w:pPr>
        <w:numPr>
          <w:ilvl w:val="0"/>
          <w:numId w:val="1003"/>
        </w:numPr>
        <w:pStyle w:val="Compact"/>
      </w:pPr>
      <w:r>
        <w:t xml:space="preserve">Drafting precision is paramount. Ambiguities in contracts are often exploited in Algerian courts due to rigid textual interpretation.</w:t>
      </w:r>
    </w:p>
    <w:p>
      <w:pPr>
        <w:pStyle w:val="FirstParagraph"/>
      </w:pPr>
      <w:r>
        <w:t xml:space="preserve">The dynamic nature of Algerian law requires continuous monitoring of legislative updates, particularly those affecting foreign investment and commercial operations within</w:t>
      </w:r>
      <w:r>
        <w:t xml:space="preserve"> </w:t>
      </w:r>
      <w:r>
        <w:rPr>
          <w:bCs/>
          <w:b/>
        </w:rPr>
        <w:t xml:space="preserve">Algeria, Algiers</w:t>
      </w:r>
      <w:r>
        <w:t xml:space="preserve">.</w:t>
      </w:r>
    </w:p>
    <w:bookmarkEnd w:id="29"/>
    <w:bookmarkStart w:id="30" w:name="conclusion"/>
    <w:p>
      <w:pPr>
        <w:pStyle w:val="Heading3"/>
      </w:pPr>
      <w:r>
        <w:t xml:space="preserve">8. Conclusion</w:t>
      </w:r>
    </w:p>
    <w:p>
      <w:pPr>
        <w:pStyle w:val="FirstParagraph"/>
      </w:pPr>
      <w:r>
        <w:t xml:space="preserve">In conclusion, this case study illustrates that successful legal representation in</w:t>
      </w:r>
      <w:r>
        <w:t xml:space="preserve"> </w:t>
      </w:r>
      <w:r>
        <w:rPr>
          <w:bCs/>
          <w:b/>
        </w:rPr>
        <w:t xml:space="preserve">Algeria, Algiers</w:t>
      </w:r>
      <w:r>
        <w:t xml:space="preserve">, demands more than just theoretical knowledge of the law. It requires a</w:t>
      </w:r>
    </w:p>
    <w:p>
      <w:pPr>
        <w:pStyle w:val="BodyText"/>
      </w:pPr>
      <w:r>
        <w:t xml:space="preserve">lawyer’s strategic acumen, cultural competence, and deep integration into the local judicial ecosystem. For international businesses engaging with Algerian entities, partnering with a local legal expert in Algiers is not merely advisable but essential for risk mitigation and commercial success. The interplay between foreign capital and local regulatory frameworks in</w:t>
      </w:r>
      <w:r>
        <w:t xml:space="preserve"> </w:t>
      </w:r>
      <w:r>
        <w:rPr>
          <w:bCs/>
          <w:b/>
        </w:rPr>
        <w:t xml:space="preserve">Algeria, Algiers</w:t>
      </w:r>
      <w:r>
        <w:t xml:space="preserve">, creates a unique legal environment where traditional common law approaches must be adapted to fit the civil law tradition of North Africa.</w:t>
      </w:r>
    </w:p>
    <w:p>
      <w:pPr>
        <w:pStyle w:val="BodyText"/>
      </w:pPr>
      <w:r>
        <w:t xml:space="preserve">The resilience shown by the parties, guided by skilled legal counsel, resulted in a sustainable business solution. This case serves as a testament to the evolving nature of legal practice in Algeria, highlighting opportunities for sophisticated commercial engagement within the capital’s bustling economic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Algeria Algiers</dc:title>
  <dc:creator/>
  <dc:language>en</dc:language>
  <cp:keywords/>
  <dcterms:created xsi:type="dcterms:W3CDTF">2026-07-29T17:50:41Z</dcterms:created>
  <dcterms:modified xsi:type="dcterms:W3CDTF">2026-07-29T17:50:41Z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