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Melbourne</w:t>
      </w:r>
    </w:p>
    <w:bookmarkStart w:id="30" w:name="X3a41b65e9f4c4e2a8d6847587694c32832e7348"/>
    <w:p>
      <w:pPr>
        <w:pStyle w:val="Heading1"/>
      </w:pPr>
      <w:r>
        <w:t xml:space="preserve">Case Study: Navigating Complex Commercial Litigation in Australia Melbourne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Supreme Court of Victoria, Australia Melbourne</w:t>
      </w:r>
      <w:r>
        <w:br/>
      </w:r>
      <w:r>
        <w:rPr>
          <w:bCs/>
          <w:b/>
        </w:rPr>
        <w:t xml:space="preserve">Type of Dispute:</w:t>
      </w:r>
      <w:r>
        <w:t xml:space="preserve"> </w:t>
      </w:r>
      <w:r>
        <w:t xml:space="preserve">Breach of Contract and Commercial Negligence</w:t>
      </w:r>
    </w:p>
    <w:bookmarkStart w:id="20" w:name="executive-summary"/>
    <w:p>
      <w:pPr>
        <w:pStyle w:val="Heading2"/>
      </w:pPr>
      <w:r>
        <w:t xml:space="preserve">Executive Summary</w:t>
      </w:r>
    </w:p>
    <w:p>
      <w:pPr>
        <w:pStyle w:val="FirstParagraph"/>
      </w:pPr>
      <w:r>
        <w:t xml:space="preserve">This case study examines a high-stakes commercial dispute involving a mid-sized technology firm based in the dynamic business hub of Australia Melbourne. The primary objective was to secure favorable compensation for breach of contract while mitigating reputational damage. By engaging a specialized Lawyer with extensive experience in Victorian commercial law, the client successfully navigated complex legal frameworks specific to Australia Melbourne’s regulatory environment. This document details the challenges faced, the strategic approach employed by the Lawyer, and the ultimate resolution of the case.</w:t>
      </w:r>
    </w:p>
    <w:bookmarkEnd w:id="20"/>
    <w:bookmarkStart w:id="21" w:name="client-background"/>
    <w:p>
      <w:pPr>
        <w:pStyle w:val="Heading2"/>
      </w:pPr>
      <w:r>
        <w:t xml:space="preserve">Client Background</w:t>
      </w:r>
    </w:p>
    <w:p>
      <w:pPr>
        <w:pStyle w:val="FirstParagraph"/>
      </w:pPr>
      <w:r>
        <w:t xml:space="preserve">The client was a rapidly growing software development company headquartered in Southbank, a central precinct within Australia Melbourne. Known for its innovative fintech solutions, the firm had entered into a significant partnership agreement with an international hardware provider. The contract stipulated that the hardware provider would deliver custom servers and integrated systems within a strict timeline to support the client’s product launch. However, due to logistical errors and poor project management by the supplier, delivery was delayed by six months. This delay resulted in missed market opportunities for the client, causing substantial financial loss.</w:t>
      </w:r>
    </w:p>
    <w:bookmarkEnd w:id="21"/>
    <w:bookmarkStart w:id="22" w:name="the-legal-challenge"/>
    <w:p>
      <w:pPr>
        <w:pStyle w:val="Heading2"/>
      </w:pPr>
      <w:r>
        <w:t xml:space="preserve">The Legal Challenge</w:t>
      </w:r>
    </w:p>
    <w:p>
      <w:pPr>
        <w:pStyle w:val="FirstParagraph"/>
      </w:pPr>
      <w:r>
        <w:t xml:space="preserve">The core legal issue revolved around interpreting force majeure clauses within an international supply contract governed partially by Australian Commonwealth law and partially by international trade agreements. The supplier argued that global supply chain disruptions constituted a valid excuse for non-performance under these clauses. Conversely, the client’s Lawyer identified several inconsistencies in the supplier’s claim, noting that similar delays did not affect other clients in different geographic locations.</w:t>
      </w:r>
    </w:p>
    <w:p>
      <w:pPr>
        <w:pStyle w:val="BodyText"/>
      </w:pPr>
      <w:r>
        <w:t xml:space="preserve">Furthermore, the jurisdictional complexity was significant. While the headquarters were located in Australia Melbourne, much of the operational documentation referenced English law standards. This dual-natured legal landscape required a Lawyer who possessed deep expertise not only in general contract law but specifically in how Australian Melbourne courts interpret international commercial disputes. The stakes were high; failure to prove negligence would result in over two million dollars in unrecoverable losses for the client.</w:t>
      </w:r>
    </w:p>
    <w:bookmarkEnd w:id="22"/>
    <w:bookmarkStart w:id="26" w:name="strategic-approach"/>
    <w:p>
      <w:pPr>
        <w:pStyle w:val="Heading2"/>
      </w:pPr>
      <w:r>
        <w:t xml:space="preserve">Strategic Approach</w:t>
      </w:r>
    </w:p>
    <w:p>
      <w:pPr>
        <w:pStyle w:val="FirstParagraph"/>
      </w:pPr>
      <w:r>
        <w:t xml:space="preserve">The appointed Lawyer initiated a comprehensive review of all correspondence, contractual milestones, and delivery logs. Recognizing the importance of precedent within Australia Melbourne’s legal system, the Lawyer focused on citing relevant Victorian Supreme Court decisions that favored strict adherence to commercial timelines unless explicitly overridden by undeniable external factors.</w:t>
      </w:r>
    </w:p>
    <w:bookmarkStart w:id="23" w:name="evidence-gathering"/>
    <w:p>
      <w:pPr>
        <w:pStyle w:val="Heading3"/>
      </w:pPr>
      <w:r>
        <w:t xml:space="preserve">1. Evidence Gathering</w:t>
      </w:r>
    </w:p>
    <w:p>
      <w:pPr>
        <w:pStyle w:val="FirstParagraph"/>
      </w:pPr>
      <w:r>
        <w:t xml:space="preserve">The first phase involved gathering irrefutable evidence demonstrating that the supply chain issues cited by the supplier were not unique to this contract. Expert witnesses in logistics were consulted to provide testimony stating that alternative routing options existed and could have mitigated the delay. This step was crucial for dismantling the force majeure defense.</w:t>
      </w:r>
    </w:p>
    <w:bookmarkEnd w:id="23"/>
    <w:bookmarkStart w:id="24" w:name="negotiation-strategy"/>
    <w:p>
      <w:pPr>
        <w:pStyle w:val="Heading3"/>
      </w:pPr>
      <w:r>
        <w:t xml:space="preserve">2. Negotiation Strategy</w:t>
      </w:r>
    </w:p>
    <w:p>
      <w:pPr>
        <w:pStyle w:val="FirstParagraph"/>
      </w:pPr>
      <w:r>
        <w:t xml:space="preserve">Leveraging strong evidence, the Lawyer proposed a structured mediation process before proceeding to full trial. Mediation is highly encouraged in Australia Melbourne’s court system to reduce backlog and costs. The Lawyer crafted a settlement proposal that included partial compensation upfront and a revised service level agreement for future deliveries, thereby protecting the client’s long-term business interests.</w:t>
      </w:r>
    </w:p>
    <w:bookmarkEnd w:id="24"/>
    <w:bookmarkStart w:id="25" w:name="litigation-preparation"/>
    <w:p>
      <w:pPr>
        <w:pStyle w:val="Heading3"/>
      </w:pPr>
      <w:r>
        <w:t xml:space="preserve">3. Litigation Preparation</w:t>
      </w:r>
    </w:p>
    <w:p>
      <w:pPr>
        <w:pStyle w:val="FirstParagraph"/>
      </w:pPr>
      <w:r>
        <w:t xml:space="preserve">When initial mediation talks stalled due to the supplier’s lowball offer, the Lawyer prepared a formidable court submission. This involved drafting detailed affidavits and expert reports tailored to meet the evidentiary standards of courts in Australia Melbourne. The Lawyer emphasized the concept of 'reasonable foreseeability,' arguing that global chip shortages were not unforeseeable events given industry trends at the time of signing.</w:t>
      </w:r>
    </w:p>
    <w:bookmarkEnd w:id="25"/>
    <w:bookmarkEnd w:id="26"/>
    <w:bookmarkStart w:id="27" w:name="the-resolution"/>
    <w:p>
      <w:pPr>
        <w:pStyle w:val="Heading2"/>
      </w:pPr>
      <w:r>
        <w:t xml:space="preserve">The Resolution</w:t>
      </w:r>
    </w:p>
    <w:p>
      <w:pPr>
        <w:pStyle w:val="FirstParagraph"/>
      </w:pPr>
      <w:r>
        <w:t xml:space="preserve">The case concluded favorably for the client shortly before trial commenced. Under intense pressure from the Lawyer’s comprehensive pre-trial submissions and credible threat of adverse costs if they lost at trial, the supplier agreed to a settlement. The final agreement included a cash settlement of $1.8 million, representing 90% of the claimed damages, along with significant concessions on warranty terms for future equipment.</w:t>
      </w:r>
    </w:p>
    <w:p>
      <w:pPr>
        <w:pStyle w:val="BodyText"/>
      </w:pPr>
      <w:r>
        <w:t xml:space="preserve">This outcome not only recovered most financial losses but also preserved the client’s professional reputation in Australia Melbourne’s tight-knit business community. The successful resolution underscored the importance of having a Lawyer who understands both the letter of the law and the practical realities of conducting business in this region.</w:t>
      </w:r>
    </w:p>
    <w:bookmarkEnd w:id="27"/>
    <w:bookmarkStart w:id="28" w:name="key-lessons-learned"/>
    <w:p>
      <w:pPr>
        <w:pStyle w:val="Heading2"/>
      </w:pPr>
      <w:r>
        <w:t xml:space="preserve">Key Lessons Learned</w:t>
      </w:r>
    </w:p>
    <w:p>
      <w:pPr>
        <w:numPr>
          <w:ilvl w:val="0"/>
          <w:numId w:val="1001"/>
        </w:numPr>
        <w:pStyle w:val="Compact"/>
      </w:pPr>
      <w:r>
        <w:rPr>
          <w:bCs/>
          <w:b/>
        </w:rPr>
        <w:t xml:space="preserve">Jurisdictional Specificity:</w:t>
      </w:r>
      <w:r>
        <w:t xml:space="preserve"> </w:t>
      </w:r>
      <w:r>
        <w:t xml:space="preserve">Understanding local nuances is vital. A Lawyer must be well-versed in how Australia Melbourne courts specifically interpret commercial contracts, as these can differ slightly from broader national interpretations.</w:t>
      </w:r>
    </w:p>
    <w:p>
      <w:pPr>
        <w:numPr>
          <w:ilvl w:val="0"/>
          <w:numId w:val="1001"/>
        </w:numPr>
        <w:pStyle w:val="Compact"/>
      </w:pPr>
      <w:r>
        <w:rPr>
          <w:bCs/>
          <w:b/>
        </w:rPr>
        <w:t xml:space="preserve">Evidence Management:</w:t>
      </w:r>
      <w:r>
        <w:t xml:space="preserve"> </w:t>
      </w:r>
      <w:r>
        <w:t xml:space="preserve">Early and meticulous evidence collection is critical. The ability to disprove force majeure claims with comparative data was the turning point in this case.</w:t>
      </w:r>
    </w:p>
    <w:p>
      <w:pPr>
        <w:numPr>
          <w:ilvl w:val="0"/>
          <w:numId w:val="1001"/>
        </w:numPr>
        <w:pStyle w:val="Compact"/>
      </w:pPr>
      <w:r>
        <w:rPr>
          <w:bCs/>
          <w:b/>
        </w:rPr>
        <w:t xml:space="preserve">Negotiation Leverage:</w:t>
      </w:r>
      <w:r>
        <w:t xml:space="preserve"> </w:t>
      </w:r>
      <w:r>
        <w:t xml:space="preserve">Even in contentious disputes, settlement offers backed by strong legal arguments can yield better results than protracted litigation, saving time and resources for businesses operating in Australia Melbourne.</w:t>
      </w:r>
    </w:p>
    <w:bookmarkEnd w:id="28"/>
    <w:bookmarkStart w:id="29" w:name="conclusion"/>
    <w:p>
      <w:pPr>
        <w:pStyle w:val="Heading2"/>
      </w:pPr>
      <w:r>
        <w:t xml:space="preserve">Conclusion</w:t>
      </w:r>
    </w:p>
    <w:p>
      <w:pPr>
        <w:pStyle w:val="FirstParagraph"/>
      </w:pPr>
      <w:r>
        <w:t xml:space="preserve">This case study illustrates the critical role a skilled Lawyer plays in resolving complex commercial disputes within Australia Melbourne. The intersection of international trade laws and local jurisdictional requirements presents unique challenges that require specialized expertise. By leveraging deep knowledge of Australian law and employing strategic negotiation tactics, the Lawyer was able to secure a significant victory for the client. For businesses operating in Australia Melbourne, this case serves as a testament to the value of proactive legal counsel and thorough preparation in mitigating commercial risk.</w:t>
      </w:r>
    </w:p>
    <w:p>
      <w:pPr>
        <w:pStyle w:val="BodyText"/>
      </w:pPr>
      <w:r>
        <w:rPr>
          <w:bCs/>
          <w:b/>
        </w:rPr>
        <w:t xml:space="preserve">Note:</w:t>
      </w:r>
      <w:r>
        <w:t xml:space="preserve"> </w:t>
      </w:r>
      <w:r>
        <w:t xml:space="preserve">This Case Study is for informational purposes only and does not constitute legal advice. Readers seeking assistance with similar matters should consult a qualified Lawyer licensed to practice in Australia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Melbourne</dc:title>
  <dc:creator/>
  <dc:language>en</dc:language>
  <cp:keywords/>
  <dcterms:created xsi:type="dcterms:W3CDTF">2026-07-29T12:15:52Z</dcterms:created>
  <dcterms:modified xsi:type="dcterms:W3CDTF">2026-07-29T12:15:52Z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