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Belgium</w:t>
      </w:r>
      <w:r>
        <w:t xml:space="preserve"> </w:t>
      </w:r>
      <w:r>
        <w:t xml:space="preserve">Brussels</w:t>
      </w:r>
    </w:p>
    <w:bookmarkStart w:id="27" w:name="Xc6772eee4b93a8aed93fe722b4dea16d2a303fc"/>
    <w:p>
      <w:pPr>
        <w:pStyle w:val="Heading1"/>
      </w:pPr>
      <w:r>
        <w:t xml:space="preserve">Case Study Analysis of Legal Representation for a Lawyer in Belgium Brussels</w:t>
      </w:r>
    </w:p>
    <w:p>
      <w:pPr>
        <w:pStyle w:val="FirstParagraph"/>
      </w:pPr>
      <w:r>
        <w:t xml:space="preserve">The legal landscape within the capital region of Belgium is characterized by its unique complexity, driven by its status as the de facto capital of the European Union. This document presents a comprehensive</w:t>
      </w:r>
      <w:r>
        <w:t xml:space="preserve"> </w:t>
      </w:r>
      <w:r>
        <w:rPr>
          <w:bCs/>
          <w:b/>
        </w:rPr>
        <w:t xml:space="preserve">Case Study</w:t>
      </w:r>
      <w:r>
        <w:t xml:space="preserve"> </w:t>
      </w:r>
      <w:r>
        <w:t xml:space="preserve">focused on the operational challenges and strategic solutions encountered when engaging specialized legal counsel in</w:t>
      </w:r>
      <w:r>
        <w:t xml:space="preserve"> </w:t>
      </w:r>
      <w:r>
        <w:rPr>
          <w:bCs/>
          <w:b/>
        </w:rPr>
        <w:t xml:space="preserve">Belgium Brussels</w:t>
      </w:r>
      <w:r>
        <w:t xml:space="preserve">. The primary subject of this analysis is a prominent corporate attorney operating within this jurisdiction, illustrating how local expertise intersects with international regulatory demands.</w:t>
      </w:r>
    </w:p>
    <w:bookmarkStart w:id="20" w:name="Xeb6f446499392e3a2eb2fe2fa5e951d52489de9"/>
    <w:p>
      <w:pPr>
        <w:pStyle w:val="Heading2"/>
      </w:pPr>
      <w:r>
        <w:t xml:space="preserve">The Context: Why Belgium Brussels Demands Specialized Counsel</w:t>
      </w:r>
    </w:p>
    <w:p>
      <w:pPr>
        <w:pStyle w:val="FirstParagraph"/>
      </w:pPr>
      <w:r>
        <w:t xml:space="preserve">To understand the necessity of a specialized</w:t>
      </w:r>
      <w:r>
        <w:t xml:space="preserve"> </w:t>
      </w:r>
      <w:r>
        <w:rPr>
          <w:bCs/>
          <w:b/>
        </w:rPr>
        <w:t xml:space="preserve">Lawyer</w:t>
      </w:r>
      <w:r>
        <w:t xml:space="preserve">, one must first appreciate the geopolitical and legal ecosystem of</w:t>
      </w:r>
      <w:r>
        <w:t xml:space="preserve"> </w:t>
      </w:r>
      <w:r>
        <w:rPr>
          <w:bCs/>
          <w:b/>
        </w:rPr>
        <w:t xml:space="preserve">Belgium Brussels</w:t>
      </w:r>
      <w:r>
        <w:t xml:space="preserve">. Unlike other jurisdictions, this city operates at the intersection of federal Belgian law, regional Flemish and French regulations, and supranational European Union directives. For a</w:t>
      </w:r>
      <w:r>
        <w:t xml:space="preserve"> </w:t>
      </w:r>
      <w:r>
        <w:rPr>
          <w:bCs/>
          <w:b/>
        </w:rPr>
        <w:t xml:space="preserve">Lawyer</w:t>
      </w:r>
      <w:r>
        <w:t xml:space="preserve"> </w:t>
      </w:r>
      <w:r>
        <w:t xml:space="preserve">practicing here, the ability to navigate these overlapping layers is not merely an advantage; it is a prerequisite for effective representation.</w:t>
      </w:r>
    </w:p>
    <w:p>
      <w:pPr>
        <w:pStyle w:val="BodyText"/>
      </w:pPr>
      <w:r>
        <w:t xml:space="preserve">This</w:t>
      </w:r>
      <w:r>
        <w:t xml:space="preserve"> </w:t>
      </w:r>
      <w:r>
        <w:rPr>
          <w:bCs/>
          <w:b/>
        </w:rPr>
        <w:t xml:space="preserve">Case Study</w:t>
      </w:r>
      <w:r>
        <w:t xml:space="preserve"> </w:t>
      </w:r>
      <w:r>
        <w:t xml:space="preserve">examines the specific difficulties faced by mid-sized multinational corporations seeking to establish or expand their footprint in this hub. The core issue was not simply legal compliance, but strategic positioning within a highly competitive and multilingual environment where linguistic precision can determine the outcome of litigation.</w:t>
      </w:r>
    </w:p>
    <w:bookmarkEnd w:id="20"/>
    <w:bookmarkStart w:id="21" w:name="the-client-profile-and-legal-challenge"/>
    <w:p>
      <w:pPr>
        <w:pStyle w:val="Heading2"/>
      </w:pPr>
      <w:r>
        <w:t xml:space="preserve">The Client Profile and Legal Challenge</w:t>
      </w:r>
    </w:p>
    <w:p>
      <w:pPr>
        <w:pStyle w:val="FirstParagraph"/>
      </w:pPr>
      <w:r>
        <w:t xml:space="preserve">The subject of this</w:t>
      </w:r>
      <w:r>
        <w:t xml:space="preserve"> </w:t>
      </w:r>
      <w:r>
        <w:rPr>
          <w:bCs/>
          <w:b/>
        </w:rPr>
        <w:t xml:space="preserve">Case Study</w:t>
      </w:r>
      <w:r>
        <w:t xml:space="preserve"> </w:t>
      </w:r>
      <w:r>
        <w:t xml:space="preserve">is "GlobalTech Solutions," a technology firm headquartered outside the EU, seeking to launch a data-intensive service in</w:t>
      </w:r>
      <w:r>
        <w:t xml:space="preserve"> </w:t>
      </w:r>
      <w:r>
        <w:rPr>
          <w:bCs/>
          <w:b/>
        </w:rPr>
        <w:t xml:space="preserve">Belgium Brussels</w:t>
      </w:r>
      <w:r>
        <w:t xml:space="preserve">. The company required representation from a seasoned</w:t>
      </w:r>
      <w:r>
        <w:t xml:space="preserve"> </w:t>
      </w:r>
      <w:r>
        <w:rPr>
          <w:bCs/>
          <w:b/>
        </w:rPr>
        <w:t xml:space="preserve">Lawyer</w:t>
      </w:r>
      <w:r>
        <w:t xml:space="preserve"> </w:t>
      </w:r>
      <w:r>
        <w:t xml:space="preserve">capable of handling three distinct but interconnected legal domains:</w:t>
      </w:r>
    </w:p>
    <w:p>
      <w:pPr>
        <w:numPr>
          <w:ilvl w:val="0"/>
          <w:numId w:val="1001"/>
        </w:numPr>
        <w:pStyle w:val="Compact"/>
      </w:pPr>
      <w:r>
        <w:rPr>
          <w:bCs/>
          <w:b/>
        </w:rPr>
        <w:t xml:space="preserve">Data Privacy (GDPR):</w:t>
      </w:r>
      <w:r>
        <w:t xml:space="preserve"> </w:t>
      </w:r>
      <w:r>
        <w:t xml:space="preserve">Ensuring compliance with the General Data Protection Regulation, which has strict enforcement mechanisms in Europe.</w:t>
      </w:r>
    </w:p>
    <w:p>
      <w:pPr>
        <w:numPr>
          <w:ilvl w:val="0"/>
          <w:numId w:val="1001"/>
        </w:numPr>
        <w:pStyle w:val="Compact"/>
      </w:pPr>
      <w:r>
        <w:rPr>
          <w:bCs/>
          <w:b/>
        </w:rPr>
        <w:t xml:space="preserve">E-Commerce Regulations:</w:t>
      </w:r>
      <w:r>
        <w:t xml:space="preserve"> </w:t>
      </w:r>
      <w:r>
        <w:t xml:space="preserve">Navigating consumer protection laws that vary slightly between the Flemish and French-speaking communities within Brussels.</w:t>
      </w:r>
    </w:p>
    <w:p>
      <w:pPr>
        <w:numPr>
          <w:ilvl w:val="0"/>
          <w:numId w:val="1001"/>
        </w:numPr>
        <w:pStyle w:val="Compact"/>
      </w:pPr>
      <w:r>
        <w:rPr>
          <w:bCs/>
          <w:b/>
        </w:rPr>
        <w:t xml:space="preserve">Tax Incentives:</w:t>
      </w:r>
      <w:r>
        <w:t xml:space="preserve"> </w:t>
      </w:r>
      <w:r>
        <w:t xml:space="preserve">Identifying specific tax breaks available to tech startups operating in designated innovation hubs in the Brussels-Capital Region.</w:t>
      </w:r>
    </w:p>
    <w:p>
      <w:pPr>
        <w:pStyle w:val="FirstParagraph"/>
      </w:pPr>
      <w:r>
        <w:t xml:space="preserve">The challenge was compounded by the fact that GlobalTech had previously encountered legal setbacks in other European jurisdictions due to a lack of localized nuance. They required a</w:t>
      </w:r>
      <w:r>
        <w:t xml:space="preserve"> </w:t>
      </w:r>
      <w:r>
        <w:rPr>
          <w:bCs/>
          <w:b/>
        </w:rPr>
        <w:t xml:space="preserve">Lawyer</w:t>
      </w:r>
      <w:r>
        <w:t xml:space="preserve"> </w:t>
      </w:r>
      <w:r>
        <w:t xml:space="preserve">who not only understood the letter of the law but also the cultural and administrative subtleties prevalent in</w:t>
      </w:r>
      <w:r>
        <w:t xml:space="preserve"> </w:t>
      </w:r>
      <w:r>
        <w:rPr>
          <w:bCs/>
          <w:b/>
        </w:rPr>
        <w:t xml:space="preserve">Belgium Brussels</w:t>
      </w:r>
      <w:r>
        <w:t xml:space="preserve">.</w:t>
      </w:r>
    </w:p>
    <w:bookmarkEnd w:id="21"/>
    <w:bookmarkStart w:id="23" w:name="Xce354db956e7883723634c43f8698b3cca1bd33"/>
    <w:p>
      <w:pPr>
        <w:pStyle w:val="Heading2"/>
      </w:pPr>
      <w:r>
        <w:t xml:space="preserve">The Role of the Lawyer: Strategic Navigation</w:t>
      </w:r>
    </w:p>
    <w:p>
      <w:pPr>
        <w:pStyle w:val="FirstParagraph"/>
      </w:pPr>
      <w:r>
        <w:t xml:space="preserve">In this scenario, the appointed</w:t>
      </w:r>
      <w:r>
        <w:t xml:space="preserve"> </w:t>
      </w:r>
      <w:r>
        <w:rPr>
          <w:bCs/>
          <w:b/>
        </w:rPr>
        <w:t xml:space="preserve">Lawyer</w:t>
      </w:r>
      <w:r>
        <w:t xml:space="preserve">Case Study, we must highlight that the</w:t>
      </w:r>
      <w:r>
        <w:t xml:space="preserve"> </w:t>
      </w:r>
      <w:r>
        <w:rPr>
          <w:bCs/>
          <w:b/>
        </w:rPr>
        <w:t xml:space="preserve">Lawyer</w:t>
      </w:r>
    </w:p>
    <w:p>
      <w:pPr>
        <w:pStyle w:val="BodyText"/>
      </w:pPr>
      <w:r>
        <w:t xml:space="preserve">The</w:t>
      </w:r>
      <w:r>
        <w:t xml:space="preserve"> </w:t>
      </w:r>
      <w:r>
        <w:rPr>
          <w:bCs/>
          <w:b/>
        </w:rPr>
        <w:t xml:space="preserve">Lawyer</w:t>
      </w:r>
      <w:r>
        <w:t xml:space="preserve">Belgium Brussels, where regulatory bodies are known for their rigorous scrutiny.</w:t>
      </w:r>
    </w:p>
    <w:bookmarkStart w:id="22" w:name="linguistic-and-cultural-competence"/>
    <w:p>
      <w:pPr>
        <w:pStyle w:val="Heading3"/>
      </w:pPr>
      <w:r>
        <w:t xml:space="preserve">Linguistic and Cultural Competence</w:t>
      </w:r>
    </w:p>
    <w:p>
      <w:pPr>
        <w:pStyle w:val="FirstParagraph"/>
      </w:pPr>
      <w:r>
        <w:t xml:space="preserve">A crucial aspect of this</w:t>
      </w:r>
      <w:r>
        <w:t xml:space="preserve"> </w:t>
      </w:r>
      <w:r>
        <w:rPr>
          <w:bCs/>
          <w:b/>
        </w:rPr>
        <w:t xml:space="preserve">Case Study</w:t>
      </w:r>
      <w:r>
        <w:t xml:space="preserve"> </w:t>
      </w:r>
      <w:r>
        <w:t xml:space="preserve">is the linguistic dimension. In</w:t>
      </w:r>
      <w:r>
        <w:t xml:space="preserve"> </w:t>
      </w:r>
      <w:r>
        <w:rPr>
          <w:bCs/>
          <w:b/>
        </w:rPr>
        <w:t xml:space="preserve">Belgium Brussels</w:t>
      </w:r>
      <w:r>
        <w:t xml:space="preserve">, official correspondence must often be bilingual (Dutch/French), depending on the specific municipality and the nature of the entity. The</w:t>
      </w:r>
      <w:r>
        <w:t xml:space="preserve"> </w:t>
      </w:r>
      <w:r>
        <w:rPr>
          <w:bCs/>
          <w:b/>
        </w:rPr>
        <w:t xml:space="preserve">Lawyer</w:t>
      </w:r>
    </w:p>
    <w:p>
      <w:pPr>
        <w:pStyle w:val="BodyText"/>
      </w:pPr>
      <w:r>
        <w:t xml:space="preserve">The ability to switch between civil law traditions (Belgian code) and common law expectations (of the international client) was another key function of the</w:t>
      </w:r>
      <w:r>
        <w:t xml:space="preserve"> </w:t>
      </w:r>
      <w:r>
        <w:rPr>
          <w:bCs/>
          <w:b/>
        </w:rPr>
        <w:t xml:space="preserve">Lawyer</w:t>
      </w:r>
      <w:r>
        <w:t xml:space="preserve">. They served as a translator not just of language, but of legal philosophy, explaining Belgian concepts such as "good faith" in contract performance to a client accustomed to more adversarial legal frameworks.</w:t>
      </w:r>
    </w:p>
    <w:bookmarkEnd w:id="22"/>
    <w:bookmarkEnd w:id="23"/>
    <w:bookmarkStart w:id="24" w:name="the-outcome-and-business-impact"/>
    <w:p>
      <w:pPr>
        <w:pStyle w:val="Heading2"/>
      </w:pPr>
      <w:r>
        <w:t xml:space="preserve">The Outcome and Business Impact</w:t>
      </w:r>
    </w:p>
    <w:p>
      <w:pPr>
        <w:pStyle w:val="FirstParagraph"/>
      </w:pPr>
      <w:r>
        <w:t xml:space="preserve">The result of this</w:t>
      </w:r>
      <w:r>
        <w:t xml:space="preserve"> </w:t>
      </w:r>
      <w:r>
        <w:rPr>
          <w:bCs/>
          <w:b/>
        </w:rPr>
        <w:t xml:space="preserve">Case Study</w:t>
      </w:r>
      <w:r>
        <w:t xml:space="preserve">'s interventions was highly favorable. By adhering to the strategic roadmap provided by the</w:t>
      </w:r>
      <w:r>
        <w:t xml:space="preserve"> </w:t>
      </w:r>
      <w:r>
        <w:rPr>
          <w:bCs/>
          <w:b/>
        </w:rPr>
        <w:t xml:space="preserve">Lawyer</w:t>
      </w:r>
      <w:r>
        <w:t xml:space="preserve">, GlobalTech Solutions achieved full compliance with GDPR and local e-commerce regulations within six months. Furthermore, the</w:t>
      </w:r>
      <w:r>
        <w:t xml:space="preserve"> </w:t>
      </w:r>
      <w:r>
        <w:rPr>
          <w:bCs/>
          <w:b/>
        </w:rPr>
        <w:t xml:space="preserve">Lawyer</w:t>
      </w:r>
    </w:p>
    <w:p>
      <w:pPr>
        <w:pStyle w:val="BodyText"/>
      </w:pPr>
      <w:r>
        <w:t xml:space="preserve">This outcome underscores a vital point: in</w:t>
      </w:r>
      <w:r>
        <w:t xml:space="preserve"> </w:t>
      </w:r>
      <w:r>
        <w:rPr>
          <w:bCs/>
          <w:b/>
        </w:rPr>
        <w:t xml:space="preserve">Belgium Brussels</w:t>
      </w:r>
      <w:r>
        <w:t xml:space="preserve">, legal advice is not just about risk mitigation; it is an enabler of business growth. The</w:t>
      </w:r>
      <w:r>
        <w:t xml:space="preserve"> </w:t>
      </w:r>
      <w:r>
        <w:rPr>
          <w:bCs/>
          <w:b/>
        </w:rPr>
        <w:t xml:space="preserve">Lawyer</w:t>
      </w:r>
    </w:p>
    <w:bookmarkEnd w:id="24"/>
    <w:bookmarkStart w:id="25" w:name="Xfba8df05de0502f07de41fe63e72e54684ef374"/>
    <w:p>
      <w:pPr>
        <w:pStyle w:val="Heading2"/>
      </w:pPr>
      <w:r>
        <w:t xml:space="preserve">Key Takeaways for Future Legal Engagements</w:t>
      </w:r>
    </w:p>
    <w:p>
      <w:pPr>
        <w:pStyle w:val="FirstParagraph"/>
      </w:pPr>
      <w:r>
        <w:t xml:space="preserve">This</w:t>
      </w:r>
      <w:r>
        <w:t xml:space="preserve"> </w:t>
      </w:r>
      <w:r>
        <w:rPr>
          <w:bCs/>
          <w:b/>
        </w:rPr>
        <w:t xml:space="preserve">Case Study</w:t>
      </w:r>
      <w:r>
        <w:t xml:space="preserve"> </w:t>
      </w:r>
      <w:r>
        <w:t xml:space="preserve">offers several critical lessons for organizations operating in or considering entry into</w:t>
      </w:r>
      <w:r>
        <w:t xml:space="preserve"> </w:t>
      </w:r>
      <w:r>
        <w:rPr>
          <w:bCs/>
          <w:b/>
        </w:rPr>
        <w:t xml:space="preserve">Belgium Brussels</w:t>
      </w:r>
      <w:r>
        <w:t xml:space="preserve">:</w:t>
      </w:r>
    </w:p>
    <w:p>
      <w:pPr>
        <w:pStyle w:val="BodyText"/>
      </w:pPr>
      <w:r>
        <w:rPr>
          <w:bCs/>
          <w:b/>
        </w:rPr>
        <w:t xml:space="preserve">Finding</w:t>
      </w:r>
    </w:p>
    <w:p>
      <w:pPr>
        <w:pStyle w:val="BodyText"/>
      </w:pPr>
      <w:r>
        <w:rPr>
          <w:bCs/>
          <w:b/>
        </w:rPr>
        <w:t xml:space="preserve">Implication for the Lawyer &amp; Client</w:t>
      </w:r>
    </w:p>
    <w:p>
      <w:pPr>
        <w:pStyle w:val="BodyText"/>
      </w:pPr>
      <w:r>
        <w:t xml:space="preserve">Dual Regulatory Oversight</w:t>
      </w:r>
    </w:p>
    <w:p>
      <w:pPr>
        <w:pStyle w:val="BodyText"/>
      </w:pPr>
      <w:r>
        <w:t xml:space="preserve">A</w:t>
      </w:r>
      <w:r>
        <w:t xml:space="preserve"> </w:t>
      </w:r>
      <w:r>
        <w:rPr>
          <w:bCs/>
          <w:b/>
        </w:rPr>
        <w:t xml:space="preserve">Lawyer must possess expertise in both federal Belgian and EU-level regulations.</w:t>
      </w:r>
    </w:p>
    <w:p>
      <w:pPr>
        <w:pStyle w:val="BodyText"/>
      </w:pPr>
      <w:r>
        <w:t xml:space="preserve">Linguistic Precision</w:t>
      </w:r>
    </w:p>
    <w:p>
      <w:pPr>
        <w:pStyle w:val="BodyText"/>
      </w:pPr>
      <w:r>
        <w:t xml:space="preserve">In</w:t>
      </w:r>
      <w:r>
        <w:t xml:space="preserve"> </w:t>
      </w:r>
      <w:r>
        <w:rPr>
          <w:bCs/>
          <w:b/>
        </w:rPr>
        <w:t xml:space="preserve">Belgium Brussels, legal documents require bilingual accuracy to enforceability.</w:t>
      </w:r>
    </w:p>
    <w:p>
      <w:pPr>
        <w:pStyle w:val="BodyText"/>
      </w:pPr>
      <w:r>
        <w:t xml:space="preserve">Cultural Nuance</w:t>
      </w:r>
    </w:p>
    <w:p>
      <w:pPr>
        <w:pStyle w:val="BodyText"/>
      </w:pPr>
      <w:r>
        <w:t xml:space="preserve">A successful</w:t>
      </w:r>
      <w:r>
        <w:t xml:space="preserve"> </w:t>
      </w:r>
      <w:r>
        <w:rPr>
          <w:bCs/>
          <w:b/>
        </w:rPr>
        <w:t xml:space="preserve">Lawyer understands the cooperative yet rigorous nature of Belgian regulators.</w:t>
      </w:r>
    </w:p>
    <w:p>
      <w:pPr>
        <w:pStyle w:val="BodyText"/>
      </w:pPr>
      <w:r>
        <w:t xml:space="preserve">Tax Strategy Integration</w:t>
      </w:r>
    </w:p>
    <w:p>
      <w:pPr>
        <w:pStyle w:val="BodyText"/>
      </w:pPr>
      <w:r>
        <w:t xml:space="preserve">Innovation hubs in Brussels offer unique benefits that a knowledgeable lawyer can unlock.</w:t>
      </w:r>
    </w:p>
    <w:bookmarkEnd w:id="25"/>
    <w:bookmarkStart w:id="26" w:name="conclusion"/>
    <w:p>
      <w:pPr>
        <w:pStyle w:val="Heading2"/>
      </w:pPr>
      <w:r>
        <w:t xml:space="preserve">Conclusion</w:t>
      </w:r>
    </w:p>
    <w:p>
      <w:pPr>
        <w:pStyle w:val="FirstParagraph"/>
      </w:pPr>
      <w:r>
        <w:t xml:space="preserve">The analysis presented in this</w:t>
      </w:r>
      <w:r>
        <w:t xml:space="preserve"> </w:t>
      </w:r>
      <w:r>
        <w:rPr>
          <w:bCs/>
          <w:b/>
        </w:rPr>
        <w:t xml:space="preserve">Case Study</w:t>
      </w:r>
      <w:r>
        <w:t xml:space="preserve">, it is evident that the role of a</w:t>
      </w:r>
      <w:r>
        <w:t xml:space="preserve"> </w:t>
      </w:r>
      <w:r>
        <w:rPr>
          <w:bCs/>
          <w:b/>
        </w:rPr>
        <w:t xml:space="preserve">Lawyer</w:t>
      </w:r>
      <w:r>
        <w:t xml:space="preserve">in</w:t>
      </w:r>
      <w:r>
        <w:t xml:space="preserve"> </w:t>
      </w:r>
      <w:r>
        <w:rPr>
          <w:bCs/>
          <w:b/>
        </w:rPr>
        <w:t xml:space="preserve">Belgium Brussels Belgium Brussels</w:t>
      </w:r>
      <w:r>
        <w:t xml:space="preserve">.</w:t>
      </w:r>
    </w:p>
    <w:p>
      <w:pPr>
        <w:pStyle w:val="BodyText"/>
      </w:pPr>
      <w:r>
        <w:t xml:space="preserve">As global business continues to converge on European capitals, the model demonstrated in this</w:t>
      </w:r>
      <w:r>
        <w:t xml:space="preserve"> </w:t>
      </w:r>
      <w:r>
        <w:rPr>
          <w:bCs/>
          <w:b/>
        </w:rPr>
        <w:t xml:space="preserve">Case Study</w:t>
      </w:r>
      <w:r>
        <w:rPr>
          <w:iCs/>
          <w:i/>
        </w:rPr>
        <w:t xml:space="preserve">-of integrated legal strategy, linguistic precision, and regulatory foresight-will become increasingly standard for any entity seeking sustainable success in</w:t>
      </w:r>
      <w:r>
        <w:rPr>
          <w:iCs/>
          <w:i/>
        </w:rPr>
        <w:t xml:space="preserve"> </w:t>
      </w:r>
      <w:r>
        <w:rPr>
          <w:bCs/>
          <w:b/>
          <w:iCs/>
          <w:i/>
        </w:rPr>
        <w:t xml:space="preserve">Belgium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Belgium Brussels</dc:title>
  <dc:creator/>
  <dc:language>en</dc:language>
  <cp:keywords/>
  <dcterms:created xsi:type="dcterms:W3CDTF">2026-07-29T04:25:27Z</dcterms:created>
  <dcterms:modified xsi:type="dcterms:W3CDTF">2026-07-29T04:25:27Z</dcterms:modified>
</cp:coreProperties>
</file>

<file path=docProps/custom.xml><?xml version="1.0" encoding="utf-8"?>
<Properties xmlns="http://schemas.openxmlformats.org/officeDocument/2006/custom-properties" xmlns:vt="http://schemas.openxmlformats.org/officeDocument/2006/docPropsVTypes"/>
</file>