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30" w:name="Xf8d9a12d4582c6ba4ece4a7d16d6d1bf6f296ab"/>
    <w:p>
      <w:pPr>
        <w:pStyle w:val="Heading1"/>
      </w:pPr>
      <w:r>
        <w:t xml:space="preserve">Case Study: Strategic Legal Representation for Corporate Compliance in Brazil Brasília</w:t>
      </w:r>
    </w:p>
    <w:bookmarkStart w:id="20" w:name="executive-summary"/>
    <w:p>
      <w:pPr>
        <w:pStyle w:val="Heading2"/>
      </w:pPr>
      <w:r>
        <w:t xml:space="preserve">Executive Summary</w:t>
      </w:r>
    </w:p>
    <w:p>
      <w:pPr>
        <w:pStyle w:val="FirstParagraph"/>
      </w:pPr>
      <w:r>
        <w:t xml:space="preserve">This case study examines the intricate legal landscape faced by a multinational corporation operating in the Federal District of Brazil, specifically within its capital city, Brasília. The primary focus is on how a specialized</w:t>
      </w:r>
      <w:r>
        <w:t xml:space="preserve"> </w:t>
      </w:r>
      <w:r>
        <w:rPr>
          <w:bCs/>
          <w:b/>
        </w:rPr>
        <w:t xml:space="preserve">Lawyer</w:t>
      </w:r>
      <w:r>
        <w:t xml:space="preserve"> </w:t>
      </w:r>
      <w:r>
        <w:t xml:space="preserve">navigated complex regulatory frameworks to ensure full compliance and mitigate significant financial risks. By analyzing the specific challenges present in</w:t>
      </w:r>
      <w:r>
        <w:t xml:space="preserve"> </w:t>
      </w:r>
      <w:r>
        <w:rPr>
          <w:bCs/>
          <w:b/>
        </w:rPr>
        <w:t xml:space="preserve">Brazil Brasília</w:t>
      </w:r>
      <w:r>
        <w:t xml:space="preserve">, this document highlights the critical importance of local expertise in federal governance matters.</w:t>
      </w:r>
    </w:p>
    <w:bookmarkEnd w:id="20"/>
    <w:bookmarkStart w:id="21" w:name="X434fcecb32b98c0fcad50dbeef652f1b10fafd2"/>
    <w:p>
      <w:pPr>
        <w:pStyle w:val="Heading2"/>
      </w:pPr>
      <w:r>
        <w:t xml:space="preserve">The Challenge: Navigating Federal Regulations in Brazil Brasília</w:t>
      </w:r>
    </w:p>
    <w:p>
      <w:pPr>
        <w:pStyle w:val="FirstParagraph"/>
      </w:pPr>
      <w:r>
        <w:rPr>
          <w:bCs/>
          <w:b/>
        </w:rPr>
        <w:t xml:space="preserve">Brazil Brasília</w:t>
      </w:r>
      <w:r>
        <w:t xml:space="preserve">, as the political and administrative heart of the nation, presents a unique set of legal challenges distinct from other Brazilian states such as São Paulo or Rio de Janeiro. The presence of the three branches of government necessitates a rigorous adherence to federal laws, public procurement regulations, and environmental standards that are strictly monitored by local tribunals.</w:t>
      </w:r>
    </w:p>
    <w:p>
      <w:pPr>
        <w:pStyle w:val="BodyText"/>
      </w:pPr>
      <w:r>
        <w:t xml:space="preserve">The client in question, a global infrastructure firm seeking to expand its operations through public-private partnerships (PPPs), encountered significant hurdles. The initial assessment revealed that standard national legal strategies were insufficient due to the specific municipal ordinances of the Federal District and overlapping jurisdictional conflicts between federal and local authorities. The company faced potential litigation regarding land use rights and environmental impact assessments, which could have halted projects worth millions of dollars.</w:t>
      </w:r>
    </w:p>
    <w:p>
      <w:pPr>
        <w:pStyle w:val="BodyText"/>
      </w:pPr>
      <w:r>
        <w:t xml:space="preserve">The core issue was not merely a lack of legal knowledge, but a lack of contextual understanding specific to the bureaucratic ecosystem of</w:t>
      </w:r>
      <w:r>
        <w:t xml:space="preserve"> </w:t>
      </w:r>
      <w:r>
        <w:rPr>
          <w:bCs/>
          <w:b/>
        </w:rPr>
        <w:t xml:space="preserve">Brazil Brasília</w:t>
      </w:r>
      <w:r>
        <w:t xml:space="preserve">. The client required a</w:t>
      </w:r>
      <w:r>
        <w:t xml:space="preserve"> </w:t>
      </w:r>
      <w:r>
        <w:rPr>
          <w:bCs/>
          <w:b/>
        </w:rPr>
        <w:t xml:space="preserve">Lawyer</w:t>
      </w:r>
      <w:r>
        <w:t xml:space="preserve"> </w:t>
      </w:r>
      <w:r>
        <w:t xml:space="preserve">who possessed deep connections within local regulatory bodies and an acute understanding of how federal mandates are interpreted by district-level judges.</w:t>
      </w:r>
    </w:p>
    <w:bookmarkEnd w:id="21"/>
    <w:bookmarkStart w:id="25" w:name="X631c1200ec70002984bd664e1fe2678ff9ce6e2"/>
    <w:p>
      <w:pPr>
        <w:pStyle w:val="Heading2"/>
      </w:pPr>
      <w:r>
        <w:t xml:space="preserve">The Solution: A Localized Legal Strategy by a Dedicated Lawyer</w:t>
      </w:r>
    </w:p>
    <w:p>
      <w:pPr>
        <w:pStyle w:val="FirstParagraph"/>
      </w:pPr>
      <w:r>
        <w:t xml:space="preserve">To address these complex challenges, the client engaged a senior associate from a top-tier law firm with extensive experience in administrative law within the Federal District. This appointed</w:t>
      </w:r>
      <w:r>
        <w:t xml:space="preserve"> </w:t>
      </w:r>
      <w:r>
        <w:rPr>
          <w:bCs/>
          <w:b/>
        </w:rPr>
        <w:t xml:space="preserve">Lawyer</w:t>
      </w:r>
      <w:r>
        <w:t xml:space="preserve"> </w:t>
      </w:r>
      <w:r>
        <w:t xml:space="preserve">implemented a multi-phase strategy tailored specifically to the nuances of</w:t>
      </w:r>
      <w:r>
        <w:t xml:space="preserve"> </w:t>
      </w:r>
      <w:r>
        <w:rPr>
          <w:bCs/>
          <w:b/>
        </w:rPr>
        <w:t xml:space="preserve">Brazil Brasília</w:t>
      </w:r>
      <w:r>
        <w:t xml:space="preserve">.</w:t>
      </w:r>
    </w:p>
    <w:bookmarkStart w:id="22" w:name="X8d9b5c811328b0d839f5573af82f18b97e06962"/>
    <w:p>
      <w:pPr>
        <w:pStyle w:val="Heading3"/>
      </w:pPr>
      <w:r>
        <w:t xml:space="preserve">1. Jurisdictional Analysis and Risk Assessment</w:t>
      </w:r>
    </w:p>
    <w:p>
      <w:pPr>
        <w:pStyle w:val="FirstParagraph"/>
      </w:pPr>
      <w:r>
        <w:t xml:space="preserve">The first step involved a comprehensive audit of all pending permits and licenses held by the client. The</w:t>
      </w:r>
      <w:r>
        <w:t xml:space="preserve"> </w:t>
      </w:r>
      <w:r>
        <w:rPr>
          <w:bCs/>
          <w:b/>
        </w:rPr>
        <w:t xml:space="preserve">Lawyer</w:t>
      </w:r>
      <w:r>
        <w:t xml:space="preserve"> </w:t>
      </w:r>
      <w:r>
        <w:t xml:space="preserve">identified discrepancies in how certain environmental clearances were processed under local district laws versus federal interpretations. By mapping out these regulatory intersections, the legal team pinpointed three critical areas where non-compliance could lead to severe penalties.</w:t>
      </w:r>
    </w:p>
    <w:bookmarkEnd w:id="22"/>
    <w:bookmarkStart w:id="23" w:name="strategic-stakeholder-engagement"/>
    <w:p>
      <w:pPr>
        <w:pStyle w:val="Heading3"/>
      </w:pPr>
      <w:r>
        <w:t xml:space="preserve">2. Strategic Stakeholder Engagement</w:t>
      </w:r>
    </w:p>
    <w:p>
      <w:pPr>
        <w:pStyle w:val="FirstParagraph"/>
      </w:pPr>
      <w:r>
        <w:t xml:space="preserve">In</w:t>
      </w:r>
      <w:r>
        <w:t xml:space="preserve"> </w:t>
      </w:r>
      <w:r>
        <w:rPr>
          <w:bCs/>
          <w:b/>
        </w:rPr>
        <w:t xml:space="preserve">Brazil Brasília</w:t>
      </w:r>
      <w:r>
        <w:t xml:space="preserve">, relationships with public administration entities are paramount. The designated</w:t>
      </w:r>
      <w:r>
        <w:t xml:space="preserve"> </w:t>
      </w:r>
      <w:r>
        <w:rPr>
          <w:bCs/>
          <w:b/>
        </w:rPr>
        <w:t xml:space="preserve">Lawyer</w:t>
      </w:r>
      <w:r>
        <w:t xml:space="preserve"> </w:t>
      </w:r>
      <w:r>
        <w:t xml:space="preserve">facilitated constructive dialogues between the client and key stakeholders, including the Secretariat of Urban Development and the Environmental Institute. This proactive approach shifted the dynamic from adversarial to collaborative, allowing for negotiated solutions rather than immediate litigation.</w:t>
      </w:r>
    </w:p>
    <w:bookmarkEnd w:id="23"/>
    <w:bookmarkStart w:id="24" w:name="litigation-defense-and-precedent-setting"/>
    <w:p>
      <w:pPr>
        <w:pStyle w:val="Heading3"/>
      </w:pPr>
      <w:r>
        <w:t xml:space="preserve">3. Litigation Defense and Precedent Setting</w:t>
      </w:r>
    </w:p>
    <w:p>
      <w:pPr>
        <w:pStyle w:val="FirstParagraph"/>
      </w:pPr>
      <w:r>
        <w:t xml:space="preserve">When one of the project permits was unexpectedly suspended by a local court order, the</w:t>
      </w:r>
      <w:r>
        <w:t xml:space="preserve"> </w:t>
      </w:r>
      <w:r>
        <w:rPr>
          <w:bCs/>
          <w:b/>
        </w:rPr>
        <w:t xml:space="preserve">Lawyer</w:t>
      </w:r>
      <w:r>
        <w:t xml:space="preserve"> </w:t>
      </w:r>
      <w:r>
        <w:t xml:space="preserve">immediately filed an injunction arguing that the suspension violated constitutional due process rights established in previous Supreme Court rulings. The legal argument was crafted to resonate with judges in Brasília who prioritize stability and predictability in public contracts. This strategic move not only restored the permit but also set a favorable precedent for future disputes.</w:t>
      </w:r>
    </w:p>
    <w:bookmarkEnd w:id="24"/>
    <w:bookmarkEnd w:id="25"/>
    <w:bookmarkStart w:id="26" w:name="X210bbf92db10cae1779a533b6f7c3144261734c"/>
    <w:p>
      <w:pPr>
        <w:pStyle w:val="Heading2"/>
      </w:pPr>
      <w:r>
        <w:t xml:space="preserve">The Outcome: Compliance and Operational Continuity</w:t>
      </w:r>
    </w:p>
    <w:p>
      <w:pPr>
        <w:pStyle w:val="FirstParagraph"/>
      </w:pPr>
      <w:r>
        <w:t xml:space="preserve">The result of this targeted legal intervention was highly successful. Within six months, the client had resolved all outstanding compliance issues without halting construction activities. The specific strategies employed by the</w:t>
      </w:r>
      <w:r>
        <w:t xml:space="preserve"> </w:t>
      </w:r>
      <w:r>
        <w:rPr>
          <w:bCs/>
          <w:b/>
        </w:rPr>
        <w:t xml:space="preserve">Lawyer</w:t>
      </w:r>
      <w:r>
        <w:t xml:space="preserve"> </w:t>
      </w:r>
      <w:r>
        <w:t xml:space="preserve">ensured that the project remained on schedule, saving an estimated $15 million in potential delays and penalties.</w:t>
      </w:r>
    </w:p>
    <w:p>
      <w:pPr>
        <w:pStyle w:val="BodyText"/>
      </w:pPr>
      <w:r>
        <w:t xml:space="preserve">Furthermore, the engagement provided long-term value. The client established a permanent legal advisory framework specifically designed for operations in</w:t>
      </w:r>
      <w:r>
        <w:t xml:space="preserve"> </w:t>
      </w:r>
      <w:r>
        <w:rPr>
          <w:bCs/>
          <w:b/>
        </w:rPr>
        <w:t xml:space="preserve">Brazil Brasília</w:t>
      </w:r>
      <w:r>
        <w:t xml:space="preserve">. This framework includes regular compliance audits and ongoing liaison with local government bodies, ensuring that future projects can be launched with minimal regulatory friction.</w:t>
      </w:r>
    </w:p>
    <w:bookmarkEnd w:id="26"/>
    <w:bookmarkStart w:id="27" w:name="X9ac758ba9c1e6adabe28322d396e84c1e7b65ba"/>
    <w:p>
      <w:pPr>
        <w:pStyle w:val="Heading2"/>
      </w:pPr>
      <w:r>
        <w:t xml:space="preserve">Key Takeaways for Legal Practitioners and Businesses</w:t>
      </w:r>
    </w:p>
    <w:p>
      <w:pPr>
        <w:numPr>
          <w:ilvl w:val="0"/>
          <w:numId w:val="1001"/>
        </w:numPr>
        <w:pStyle w:val="Compact"/>
      </w:pPr>
      <w:r>
        <w:rPr>
          <w:bCs/>
          <w:b/>
        </w:rPr>
        <w:t xml:space="preserve">The Importance of Local Expertise:</w:t>
      </w:r>
      <w:r>
        <w:t xml:space="preserve"> </w:t>
      </w:r>
      <w:r>
        <w:t xml:space="preserve">As demonstrated in this case study, a generic legal strategy is often inadequate. A skilled</w:t>
      </w:r>
      <w:r>
        <w:t xml:space="preserve"> </w:t>
      </w:r>
      <w:r>
        <w:rPr>
          <w:bCs/>
          <w:b/>
        </w:rPr>
        <w:t xml:space="preserve">Lawyer</w:t>
      </w:r>
      <w:r>
        <w:t xml:space="preserve"> </w:t>
      </w:r>
      <w:r>
        <w:t xml:space="preserve">must possess specific knowledge of the unique legal culture in</w:t>
      </w:r>
      <w:r>
        <w:t xml:space="preserve"> </w:t>
      </w:r>
      <w:r>
        <w:rPr>
          <w:bCs/>
          <w:b/>
        </w:rPr>
        <w:t xml:space="preserve">Brazil Brasília</w:t>
      </w:r>
      <w:r>
        <w:t xml:space="preserve">, where federal and district laws frequently intersect.</w:t>
      </w:r>
    </w:p>
    <w:p>
      <w:pPr>
        <w:numPr>
          <w:ilvl w:val="0"/>
          <w:numId w:val="1001"/>
        </w:numPr>
        <w:pStyle w:val="Compact"/>
      </w:pPr>
      <w:r>
        <w:rPr>
          <w:bCs/>
          <w:b/>
        </w:rPr>
        <w:t xml:space="preserve">Proactive Risk Management:</w:t>
      </w:r>
      <w:r>
        <w:t xml:space="preserve"> </w:t>
      </w:r>
      <w:r>
        <w:t xml:space="preserve">Waiting for litigation to arise is a costly mistake. The successful outcome here was driven by early identification of regulatory gaps and immediate, strategic intervention.</w:t>
      </w:r>
    </w:p>
    <w:p>
      <w:pPr>
        <w:numPr>
          <w:ilvl w:val="0"/>
          <w:numId w:val="1001"/>
        </w:numPr>
        <w:pStyle w:val="Compact"/>
      </w:pPr>
      <w:r>
        <w:rPr>
          <w:bCs/>
          <w:b/>
        </w:rPr>
        <w:t xml:space="preserve">Navigating Political Sensitivities:</w:t>
      </w:r>
      <w:r>
        <w:t xml:space="preserve"> </w:t>
      </w:r>
      <w:r>
        <w:t xml:space="preserve">In the capital of Brazil, legal matters often carry political weight. A</w:t>
      </w:r>
      <w:r>
        <w:t xml:space="preserve"> </w:t>
      </w:r>
      <w:r>
        <w:rPr>
          <w:bCs/>
          <w:b/>
        </w:rPr>
        <w:t xml:space="preserve">Lawyer</w:t>
      </w:r>
      <w:r>
        <w:t xml:space="preserve"> </w:t>
      </w:r>
      <w:r>
        <w:t xml:space="preserve">must be adept at navigating these sensitivities to protect client interests while maintaining professional integrity and compliance with public interest obligations.</w:t>
      </w:r>
    </w:p>
    <w:bookmarkEnd w:id="27"/>
    <w:bookmarkStart w:id="28" w:name="conclusion"/>
    <w:p>
      <w:pPr>
        <w:pStyle w:val="Heading2"/>
      </w:pPr>
      <w:r>
        <w:t xml:space="preserve">Conclusion</w:t>
      </w:r>
    </w:p>
    <w:p>
      <w:pPr>
        <w:pStyle w:val="FirstParagraph"/>
      </w:pPr>
      <w:r>
        <w:t xml:space="preserve">This case study underscores the vital role of specialized legal counsel in the complex environment of</w:t>
      </w:r>
      <w:r>
        <w:t xml:space="preserve"> </w:t>
      </w:r>
      <w:r>
        <w:rPr>
          <w:bCs/>
          <w:b/>
        </w:rPr>
        <w:t xml:space="preserve">Brazil Brasília</w:t>
      </w:r>
      <w:r>
        <w:t xml:space="preserve">. For businesses and individuals alike, securing a qualified</w:t>
      </w:r>
      <w:r>
        <w:t xml:space="preserve"> </w:t>
      </w:r>
      <w:r>
        <w:rPr>
          <w:bCs/>
          <w:b/>
        </w:rPr>
        <w:t xml:space="preserve">Lawyer</w:t>
      </w:r>
      <w:r>
        <w:t xml:space="preserve"> </w:t>
      </w:r>
      <w:r>
        <w:t xml:space="preserve">with regional expertise is not just a defensive measure but a strategic asset. The ability to navigate the distinct legal landscape of Brazil's capital ensures compliance, protects investments, and fosters sustainable growth in one of South America's most dynamic economic hubs.</w:t>
      </w:r>
    </w:p>
    <w:bookmarkEnd w:id="28"/>
    <w:bookmarkStart w:id="29" w:name="about-the-firm"/>
    <w:p>
      <w:pPr>
        <w:pStyle w:val="Heading2"/>
      </w:pPr>
      <w:r>
        <w:t xml:space="preserve">About the Firm</w:t>
      </w:r>
    </w:p>
    <w:p>
      <w:pPr>
        <w:pStyle w:val="FirstParagraph"/>
      </w:pPr>
      <w:r>
        <w:t xml:space="preserve">[Firm Name Placeholder] is a premier legal consultancy dedicated to providing expert representation in administrative, corporate, and environmental law. With deep roots in the Federal District, our team understands the unique challenges of operating in</w:t>
      </w:r>
      <w:r>
        <w:t xml:space="preserve"> </w:t>
      </w:r>
      <w:r>
        <w:rPr>
          <w:bCs/>
          <w:b/>
        </w:rPr>
        <w:t xml:space="preserve">Brazil Brasília</w:t>
      </w:r>
      <w:r>
        <w:t xml:space="preserve">. We are committed to delivering tailored legal solutions that drive success for our clients.</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Brazil Brasília</dc:title>
  <dc:creator/>
  <dc:language>en</dc:language>
  <cp:keywords/>
  <dcterms:created xsi:type="dcterms:W3CDTF">2026-07-29T18:58:39Z</dcterms:created>
  <dcterms:modified xsi:type="dcterms:W3CDTF">2026-07-29T18:58:39Z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