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dd2c4a1f3b688fc1c20f869378f51616c8ed2d3"/>
    <w:p>
      <w:pPr>
        <w:pStyle w:val="Heading1"/>
      </w:pPr>
      <w:r>
        <w:t xml:space="preserve">Case Study: Navigating Complex Commercial Litigation as a Lawyer in Canada Toronto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Ontario, Canada (Toronto Division)</w:t>
      </w:r>
      <w:r>
        <w:br/>
      </w:r>
    </w:p>
    <w:p>
      <w:pPr>
        <w:pStyle w:val="BodyText"/>
      </w:pPr>
      <w:r>
        <w:t xml:space="preserve">Subject: Corporate Dispute Resolution and Strategic Counsel</w:t>
      </w:r>
    </w:p>
    <w:bookmarkStart w:id="20" w:name="executive-summary"/>
    <w:p>
      <w:pPr>
        <w:pStyle w:val="Heading2"/>
      </w:pPr>
      <w:r>
        <w:t xml:space="preserve">1. Executive Summary</w:t>
      </w:r>
    </w:p>
    <w:p>
      <w:pPr>
        <w:pStyle w:val="FirstParagraph"/>
      </w:pPr>
      <w:r>
        <w:t xml:space="preserve">This case study examines the intricate legal challenges faced by a mid-sized technology enterprise located in the heart of Toronto's financial district, known as Bay Street. The primary focus is on the role of a dedicated lawyer specializing in commercial litigation within Canada's most populous city. The scenario highlights how effective legal representation, local knowledge of Ontario laws, and strategic negotiation can resolve high-stakes disputes without resorting to protracted and costly trials. This document serves as an illustrative example for potential clients seeking clarity on why engaging a specialized Lawyer in Canada Toronto is crucial for business continuity and risk management.</w:t>
      </w:r>
    </w:p>
    <w:bookmarkEnd w:id="20"/>
    <w:bookmarkStart w:id="21" w:name="client-profile"/>
    <w:p>
      <w:pPr>
        <w:pStyle w:val="Heading2"/>
      </w:pPr>
      <w:r>
        <w:t xml:space="preserve">2. Client Profile</w:t>
      </w:r>
    </w:p>
    <w:p>
      <w:pPr>
        <w:pStyle w:val="FirstParagraph"/>
      </w:pPr>
      <w:r>
        <w:rPr>
          <w:bCs/>
          <w:b/>
        </w:rPr>
        <w:t xml:space="preserve">The Client:</w:t>
      </w:r>
      <w:r>
        <w:t xml:space="preserve"> </w:t>
      </w:r>
      <w:r>
        <w:t xml:space="preserve">NovaTech Solutions Inc., a growing software development firm headquartered in Downtown Toronto.</w:t>
      </w:r>
      <w:r>
        <w:br/>
      </w:r>
      <w:r>
        <w:rPr>
          <w:bCs/>
          <w:b/>
        </w:rPr>
        <w:t xml:space="preserve">Industry:</w:t>
      </w:r>
      <w:r>
        <w:t xml:space="preserve"> </w:t>
      </w:r>
      <w:r>
        <w:t xml:space="preserve">Information Technology / Software Development</w:t>
      </w:r>
      <w:r>
        <w:br/>
      </w:r>
    </w:p>
    <w:p>
      <w:pPr>
        <w:pStyle w:val="BodyText"/>
      </w:pPr>
      <w:r>
        <w:t xml:space="preserve">Circumstances: NovaTech had secured a significant contract with a government entity in Ontario. However, three months into the project, the client (the government agency) accused NovaTech of breaching service-level agreements (SLAs). This accusation resulted in withheld payments exceeding CAD 2 million and threatened NovaTech’s reputation within the public sector market.</w:t>
      </w:r>
    </w:p>
    <w:bookmarkEnd w:id="21"/>
    <w:bookmarkStart w:id="22" w:name="the-legal-challenge"/>
    <w:p>
      <w:pPr>
        <w:pStyle w:val="Heading2"/>
      </w:pPr>
      <w:r>
        <w:t xml:space="preserve">3. The Legal Challenge</w:t>
      </w:r>
    </w:p>
    <w:p>
      <w:pPr>
        <w:pStyle w:val="FirstParagraph"/>
      </w:pPr>
      <w:r>
        <w:t xml:space="preserve">The dispute presented multiple layers of complexity typical of the rigorous legal environment in Canada Toronto. First, there was the contractual ambiguity surrounding "performance metrics." Second, there were allegations of intellectual property misuse by a former employee who had recently joined a competitor firm. Third, the government entity threatened to blacklist NovaTech from future provincial tenders unless full compensation was paid.</w:t>
      </w:r>
    </w:p>
    <w:p>
      <w:pPr>
        <w:pStyle w:val="BodyText"/>
      </w:pPr>
      <w:r>
        <w:t xml:space="preserve">NovaTech’s internal management team lacked the specific expertise to navigate these issues alone. They required a Lawyer in Canada Toronto who not only understood general contract law but also possessed deep familiarity with Ontario’s public procurement regulations and the nuances of local court procedures. The stakes were high: beyond the immediate financial loss, NovaTech faced existential risk to its future revenue streams in the Canadian market.</w:t>
      </w:r>
    </w:p>
    <w:bookmarkEnd w:id="22"/>
    <w:bookmarkStart w:id="25" w:name="strategic-intervention"/>
    <w:p>
      <w:pPr>
        <w:pStyle w:val="Heading2"/>
      </w:pPr>
      <w:r>
        <w:t xml:space="preserve">4. Strategic Intervention</w:t>
      </w:r>
    </w:p>
    <w:p>
      <w:pPr>
        <w:pStyle w:val="FirstParagraph"/>
      </w:pPr>
      <w:r>
        <w:t xml:space="preserve">NovaTech engaged a specialized law firm based in Toronto. The assigned Lawyer began with a comprehensive forensic audit of all communication logs, code repositories, and contract amendments. This phase was critical because the initial accusation relied on selective interpretations of the original SLA document.</w:t>
      </w:r>
    </w:p>
    <w:bookmarkStart w:id="23" w:name="a.-legal-analysis"/>
    <w:p>
      <w:pPr>
        <w:pStyle w:val="Heading3"/>
      </w:pPr>
      <w:r>
        <w:t xml:space="preserve">A. Legal Analysis</w:t>
      </w:r>
    </w:p>
    <w:p>
      <w:pPr>
        <w:pStyle w:val="FirstParagraph"/>
      </w:pPr>
      <w:r>
        <w:t xml:space="preserve">The Lawyer identified that while NovaTech had missed certain minor deadlines, these delays were caused by force majeure events related to supply chain disruptions—a clause explicitly protected under their contract. Furthermore, the accusation regarding intellectual property theft was unfounded; the code in question had been developed using open-source libraries permissible under MIT licenses, which both parties had agreed to.</w:t>
      </w:r>
    </w:p>
    <w:bookmarkEnd w:id="23"/>
    <w:bookmarkStart w:id="24" w:name="b.-jurisdictional-expertise"/>
    <w:p>
      <w:pPr>
        <w:pStyle w:val="Heading3"/>
      </w:pPr>
      <w:r>
        <w:t xml:space="preserve">B. Jurisdictional Expertise</w:t>
      </w:r>
    </w:p>
    <w:p>
      <w:pPr>
        <w:pStyle w:val="FirstParagraph"/>
      </w:pPr>
      <w:r>
        <w:t xml:space="preserve">A key advantage of hiring a Lawyer in Canada Toronto was their immediate understanding of the Ontario Court of Justice’s recent precedents regarding government contracts. The legal team prepared a preliminary injunction request not to stop the government, but to clarify that withholding funds violated standard procurement transparency guidelines established by the province. This strategic move shifted the power dynamic significantly.</w:t>
      </w:r>
    </w:p>
    <w:bookmarkEnd w:id="24"/>
    <w:bookmarkEnd w:id="25"/>
    <w:bookmarkStart w:id="26" w:name="negotiation-and-resolution"/>
    <w:p>
      <w:pPr>
        <w:pStyle w:val="Heading2"/>
      </w:pPr>
      <w:r>
        <w:t xml:space="preserve">5. Negotiation and Resolution</w:t>
      </w:r>
    </w:p>
    <w:p>
      <w:pPr>
        <w:pStyle w:val="FirstParagraph"/>
      </w:pPr>
      <w:r>
        <w:t xml:space="preserve">Rather than proceeding immediately to litigation in Toronto’s Superior Court of Justice—which could have taken years—the Lawyer facilitated high-level mediation sessions in downtown Toronto. The goal was a settlement that preserved NovaTech’s reputation while recovering owed funds.</w:t>
      </w:r>
    </w:p>
    <w:p>
      <w:pPr>
        <w:pStyle w:val="BodyText"/>
      </w:pPr>
      <w:r>
        <w:t xml:space="preserve">The Lawyer utilized a combination of legal pressure and diplomatic negotiation. By presenting the forensic evidence alongside relevant case law from Ontario courts, the Legal Counsel demonstrated that NovaTech would likely prevail at trial but at a high reputational cost to both parties. This mutual recognition of risk led to an agreement:</w:t>
      </w:r>
    </w:p>
    <w:p>
      <w:pPr>
        <w:numPr>
          <w:ilvl w:val="0"/>
          <w:numId w:val="1001"/>
        </w:numPr>
        <w:pStyle w:val="Compact"/>
      </w:pPr>
      <w:r>
        <w:t xml:space="preserve">The government agency released 90% of the withheld funds immediately.</w:t>
      </w:r>
    </w:p>
    <w:p>
      <w:pPr>
        <w:numPr>
          <w:ilvl w:val="0"/>
          <w:numId w:val="1001"/>
        </w:numPr>
        <w:pStyle w:val="Compact"/>
      </w:pPr>
      <w:r>
        <w:t xml:space="preserve">A revised SLA framework was established, with clearer performance metrics for future projects.</w:t>
      </w:r>
    </w:p>
    <w:p>
      <w:pPr>
        <w:numPr>
          <w:ilvl w:val="0"/>
          <w:numId w:val="1001"/>
        </w:numPr>
        <w:pStyle w:val="Compact"/>
      </w:pPr>
      <w:r>
        <w:t xml:space="preserve">No admission of liability was made by NovaTech, protecting their eligibility for future tenders.</w:t>
      </w:r>
    </w:p>
    <w:bookmarkEnd w:id="26"/>
    <w:bookmarkStart w:id="27" w:name="outcome-analysis"/>
    <w:p>
      <w:pPr>
        <w:pStyle w:val="Heading2"/>
      </w:pPr>
      <w:r>
        <w:t xml:space="preserve">6. Outcome Analysis</w:t>
      </w:r>
    </w:p>
    <w:p>
      <w:pPr>
        <w:pStyle w:val="FirstParagraph"/>
      </w:pPr>
      <w:r>
        <w:t xml:space="preserve">The resolution saved NovaTech approximately CAD 1.8 million in direct revenue and preserved its standing in the public sector market. More importantly, it allowed the company to continue operations without the distraction of a multi-year lawsuit.</w:t>
      </w:r>
    </w:p>
    <w:p>
      <w:pPr>
        <w:pStyle w:val="BodyText"/>
      </w:pPr>
      <w:r>
        <w:t xml:space="preserve">This outcome underscores several key benefits of employing a skilled Lawyer in Canada Toronto:</w:t>
      </w:r>
    </w:p>
    <w:p>
      <w:pPr>
        <w:numPr>
          <w:ilvl w:val="0"/>
          <w:numId w:val="1002"/>
        </w:numPr>
        <w:pStyle w:val="Compact"/>
      </w:pPr>
      <w:r>
        <w:rPr>
          <w:bCs/>
          <w:b/>
        </w:rPr>
        <w:t xml:space="preserve">Local Knowledge:</w:t>
      </w:r>
      <w:r>
        <w:t xml:space="preserve"> </w:t>
      </w:r>
      <w:r>
        <w:t xml:space="preserve">Understanding the specific judicial climate and procedural rules in Ontario is invaluable. A Lawyer in Canada Toronto knows how local judges interpret ambiguity in government contracts.</w:t>
      </w:r>
    </w:p>
    <w:p>
      <w:pPr>
        <w:numPr>
          <w:ilvl w:val="0"/>
          <w:numId w:val="1002"/>
        </w:numPr>
        <w:pStyle w:val="Compact"/>
      </w:pPr>
      <w:r>
        <w:rPr>
          <w:bCs/>
          <w:b/>
        </w:rPr>
        <w:t xml:space="preserve">Negotiation Leverage:</w:t>
      </w:r>
      <w:r>
        <w:t xml:space="preserve"> </w:t>
      </w:r>
      <w:r>
        <w:t xml:space="preserve">Effective legal counsel often resolves disputes before they reach the courtroom, saving time and money.</w:t>
      </w:r>
    </w:p>
    <w:p>
      <w:pPr>
        <w:numPr>
          <w:ilvl w:val="0"/>
          <w:numId w:val="1002"/>
        </w:numPr>
        <w:pStyle w:val="Compact"/>
      </w:pPr>
      <w:r>
        <w:t xml:space="preserve">Reputation Management: Legal strategies that preserve professional standing are as important as financial recovery, especially in a tight-knit business hub like Toronto.</w:t>
      </w:r>
    </w:p>
    <w:bookmarkEnd w:id="27"/>
    <w:bookmarkStart w:id="28" w:name="conclusion"/>
    <w:p>
      <w:pPr>
        <w:pStyle w:val="Heading2"/>
      </w:pPr>
      <w:r>
        <w:t xml:space="preserve">7. Conclusion</w:t>
      </w:r>
    </w:p>
    <w:p>
      <w:pPr>
        <w:pStyle w:val="FirstParagraph"/>
      </w:pPr>
      <w:r>
        <w:t xml:space="preserve">This case study illustrates that legal disputes, particularly those involving government entities and intellectual property, require more than just statutory knowledge; they demand strategic insight and local expertise. For businesses operating in or contracting with entities in Ontario, the role of a competent Lawyer in Canada Toronto is not merely reactive but proactive. By anticipating risks and leveraging regional legal nuances, such counsel ensures that commercial interests are protected efficiently.</w:t>
      </w:r>
    </w:p>
    <w:p>
      <w:pPr>
        <w:pStyle w:val="BodyText"/>
      </w:pPr>
      <w:r>
        <w:t xml:space="preserve">NovaTech’s success serves as a testament to the value of specialized legal representation. It highlights that when facing complex litigation in Canada Toronto, the difference between financial ruin and strategic victory often lies in the expertise of the lawyer guiding you through it. As businesses continue to grow within Canada's economic centers, having a trusted legal partner who understands the local landscape remains an indispensable asset.</w:t>
      </w:r>
    </w:p>
    <w:p>
      <w:pPr>
        <w:pStyle w:val="BodyText"/>
      </w:pPr>
      <w:r>
        <w:rPr>
          <w:iCs/>
          <w:i/>
        </w:rPr>
        <w:t xml:space="preserve">Disclaimer: This document is for informational purposes only and does not constitute legal advice. Please consult with a qualified Lawyer in Canada Toronto for specific legal concerns.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Canada Toronto</dc:title>
  <dc:creator/>
  <dc:language>en</dc:language>
  <cp:keywords/>
  <dcterms:created xsi:type="dcterms:W3CDTF">2026-07-29T07:09:47Z</dcterms:created>
  <dcterms:modified xsi:type="dcterms:W3CDTF">2026-07-29T07:09:47Z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