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Strategy</w:t>
      </w:r>
      <w:r>
        <w:t xml:space="preserve"> </w:t>
      </w:r>
      <w:r>
        <w:t xml:space="preserve">and</w:t>
      </w:r>
      <w:r>
        <w:t xml:space="preserve"> </w:t>
      </w:r>
      <w:r>
        <w:t xml:space="preserve">Compliance</w:t>
      </w:r>
      <w:r>
        <w:t xml:space="preserve"> </w:t>
      </w:r>
      <w:r>
        <w:t xml:space="preserve">in</w:t>
      </w:r>
      <w:r>
        <w:t xml:space="preserve"> </w:t>
      </w:r>
      <w:r>
        <w:t xml:space="preserve">China</w:t>
      </w:r>
      <w:r>
        <w:t xml:space="preserve"> </w:t>
      </w:r>
      <w:r>
        <w:t xml:space="preserve">Shanghai</w:t>
      </w:r>
    </w:p>
    <w:bookmarkStart w:id="33" w:name="X5509af725d4256cafe4292ba51c6dc9740c10a1"/>
    <w:p>
      <w:pPr>
        <w:pStyle w:val="Heading1"/>
      </w:pPr>
      <w:r>
        <w:t xml:space="preserve">Strategic Legal Navigation in the Heart of Global Commerce</w:t>
      </w:r>
    </w:p>
    <w:p>
      <w:pPr>
        <w:pStyle w:val="FirstParagraph"/>
      </w:pPr>
      <w:r>
        <w:t xml:space="preserve">A comprehensive case study examining the role of a specialized</w:t>
      </w:r>
      <w:r>
        <w:t xml:space="preserve"> </w:t>
      </w:r>
      <w:r>
        <w:rPr>
          <w:bCs/>
          <w:b/>
        </w:rPr>
        <w:t xml:space="preserve">Lawyer</w:t>
      </w:r>
      <w:r>
        <w:t xml:space="preserve"> </w:t>
      </w:r>
      <w:r>
        <w:t xml:space="preserve">within the dynamic jurisdiction of</w:t>
      </w:r>
      <w:r>
        <w:t xml:space="preserve"> </w:t>
      </w:r>
      <w:r>
        <w:rPr>
          <w:bCs/>
          <w:b/>
        </w:rPr>
        <w:t xml:space="preserve">China Shanghai</w:t>
      </w:r>
      <w:r>
        <w:t xml:space="preserve">, focusing on cross-border investment, regulatory compliance, and dispute resolution. This document analyzes how legal expertise is critical for international entities navigating the complex business landscape of one of Asia’s most vibrant economic hubs.</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China Shanghai</w:t>
      </w:r>
      <w:r>
        <w:t xml:space="preserve"> </w:t>
      </w:r>
      <w:r>
        <w:t xml:space="preserve">stands as a testament to rapid economic development and global integration. As the financial capital of mainland China, it serves as the primary gateway for foreign direct investment (FDI) into the Chinese market. However, this environment presents unique challenges characterized by a dual legal system: a civil law framework heavily influenced by administrative regulations and evolving common-law-inspired commercial practices in special economic zones.</w:t>
      </w:r>
    </w:p>
    <w:p>
      <w:pPr>
        <w:pStyle w:val="BodyText"/>
      </w:pPr>
      <w:r>
        <w:t xml:space="preserve">This case study details how a senior</w:t>
      </w:r>
      <w:r>
        <w:t xml:space="preserve"> </w:t>
      </w:r>
      <w:r>
        <w:rPr>
          <w:bCs/>
          <w:b/>
        </w:rPr>
        <w:t xml:space="preserve">Lawyer</w:t>
      </w:r>
      <w:r>
        <w:t xml:space="preserve">, operating within</w:t>
      </w:r>
      <w:r>
        <w:t xml:space="preserve"> </w:t>
      </w:r>
      <w:r>
        <w:rPr>
          <w:bCs/>
          <w:b/>
        </w:rPr>
        <w:t xml:space="preserve">China Shanghai</w:t>
      </w:r>
      <w:r>
        <w:t xml:space="preserve">, facilitates the entry and expansion of multinational corporations. The core objective is to demonstrate that effective legal counsel in this region is not merely about understanding statutes, but about mastering the interplay between government policy, cultural nuances, and international commercial standards.</w:t>
      </w:r>
    </w:p>
    <w:bookmarkEnd w:id="20"/>
    <w:bookmarkStart w:id="21" w:name="Xf9c933aab73afc362b31aa6e0eee210214c5fc4"/>
    <w:p>
      <w:pPr>
        <w:pStyle w:val="Heading2"/>
      </w:pPr>
      <w:r>
        <w:t xml:space="preserve">2. Case Background: The "Shanghai Tech Hub" Initiative</w:t>
      </w:r>
    </w:p>
    <w:p>
      <w:pPr>
        <w:pStyle w:val="FirstParagraph"/>
      </w:pPr>
      <w:r>
        <w:t xml:space="preserve">The subject of this case study involves a mid-sized European technology firm seeking to establish a wholly foreign-owned enterprise (WFOE) in the Shanghai Free Trade Zone (FTZ). The project, codenamed "Project Horizon," aimed to develop localized software solutions for the Asian market. While the business case was strong, the regulatory hurdles were significant.</w:t>
      </w:r>
    </w:p>
    <w:p>
      <w:pPr>
        <w:pStyle w:val="BodyText"/>
      </w:pPr>
      <w:r>
        <w:t xml:space="preserve">The primary challenges included:</w:t>
      </w:r>
    </w:p>
    <w:p>
      <w:pPr>
        <w:numPr>
          <w:ilvl w:val="0"/>
          <w:numId w:val="1001"/>
        </w:numPr>
        <w:pStyle w:val="Compact"/>
      </w:pPr>
      <w:r>
        <w:t xml:space="preserve">Navigating the negative list of prohibited foreign investments.</w:t>
      </w:r>
    </w:p>
    <w:p>
      <w:pPr>
        <w:numPr>
          <w:ilvl w:val="0"/>
          <w:numId w:val="1001"/>
        </w:numPr>
        <w:pStyle w:val="Compact"/>
      </w:pPr>
      <w:r>
        <w:t xml:space="preserve">Ensuring compliance with China’s stringent Data Security Law (DSL) and Personal Information Protection Law (PIPL).</w:t>
      </w:r>
    </w:p>
    <w:p>
      <w:pPr>
        <w:numPr>
          <w:ilvl w:val="0"/>
          <w:numId w:val="1001"/>
        </w:numPr>
        <w:pStyle w:val="Compact"/>
      </w:pPr>
      <w:r>
        <w:t xml:space="preserve">Leveraging the</w:t>
      </w:r>
      <w:r>
        <w:t xml:space="preserve"> </w:t>
      </w:r>
      <w:r>
        <w:rPr>
          <w:bCs/>
          <w:b/>
        </w:rPr>
        <w:t xml:space="preserve">Lawyer</w:t>
      </w:r>
      <w:r>
        <w:t xml:space="preserve">'s local network to expedite administrative approvals in</w:t>
      </w:r>
      <w:r>
        <w:t xml:space="preserve"> </w:t>
      </w:r>
      <w:r>
        <w:rPr>
          <w:bCs/>
          <w:b/>
        </w:rPr>
        <w:t xml:space="preserve">China Shanghai</w:t>
      </w:r>
      <w:r>
        <w:t xml:space="preserve">.</w:t>
      </w:r>
    </w:p>
    <w:p>
      <w:pPr>
        <w:pStyle w:val="FirstParagraph"/>
      </w:pPr>
      <w:r>
        <w:t xml:space="preserve">The firm engaged a prominent law firm based in</w:t>
      </w:r>
      <w:r>
        <w:t xml:space="preserve"> </w:t>
      </w:r>
      <w:r>
        <w:rPr>
          <w:bCs/>
          <w:b/>
        </w:rPr>
        <w:t xml:space="preserve">China Shanghai</w:t>
      </w:r>
      <w:r>
        <w:t xml:space="preserve">, where a dedicated team led by an experienced corporate</w:t>
      </w:r>
      <w:r>
        <w:t xml:space="preserve"> </w:t>
      </w:r>
      <w:r>
        <w:rPr>
          <w:iCs/>
          <w:i/>
        </w:rPr>
        <w:t xml:space="preserve">Lawyer</w:t>
      </w:r>
      <w:r>
        <w:t xml:space="preserve"> </w:t>
      </w:r>
      <w:r>
        <w:t xml:space="preserve">was appointed as lead counsel.</w:t>
      </w:r>
    </w:p>
    <w:bookmarkEnd w:id="21"/>
    <w:bookmarkStart w:id="24" w:name="X3c00ac708515466a4b05f101e56bdda119da5ac"/>
    <w:p>
      <w:pPr>
        <w:pStyle w:val="Heading2"/>
      </w:pPr>
      <w:r>
        <w:t xml:space="preserve">3. The Role of the Lawyer in China Shanghai: Strategic Advisory</w:t>
      </w:r>
    </w:p>
    <w:bookmarkStart w:id="22" w:name="Xf47c2a9e1de9791b210497fffc147976f23f31c"/>
    <w:p>
      <w:pPr>
        <w:pStyle w:val="Heading3"/>
      </w:pPr>
      <w:r>
        <w:t xml:space="preserve">A. Regulatory Navigation and Corporate Structuring</w:t>
      </w:r>
    </w:p>
    <w:p>
      <w:pPr>
        <w:pStyle w:val="FirstParagraph"/>
      </w:pPr>
      <w:r>
        <w:t xml:space="preserve">In</w:t>
      </w:r>
      <w:r>
        <w:t xml:space="preserve"> </w:t>
      </w:r>
      <w:r>
        <w:rPr>
          <w:bCs/>
          <w:b/>
        </w:rPr>
        <w:t xml:space="preserve">China Shanghai</w:t>
      </w:r>
      <w:r>
        <w:t xml:space="preserve">, the concept of a "one-stop shop" for business registration is prevalent, particularly within the Free Trade Zone. However, behind this streamlined appearance lies a labyrinth of local regulations that differ from national standards. The</w:t>
      </w:r>
      <w:r>
        <w:t xml:space="preserve"> </w:t>
      </w:r>
      <w:r>
        <w:rPr>
          <w:iCs/>
          <w:i/>
        </w:rPr>
        <w:t xml:space="preserve">Lawyer</w:t>
      </w:r>
      <w:r>
        <w:t xml:space="preserve"> </w:t>
      </w:r>
      <w:r>
        <w:t xml:space="preserve">played a pivotal role in structuring the corporate entity to maximize tax incentives available specifically to high-tech enterprises in Shanghai.</w:t>
      </w:r>
    </w:p>
    <w:p>
      <w:pPr>
        <w:pStyle w:val="BodyText"/>
      </w:pPr>
      <w:r>
        <w:t xml:space="preserve">The legal counsel advised against a standard joint venture structure, instead recommending a WFOE with variable interest entity (VIE) considerations due to the tech sector's sensitivity. This decision required deep knowledge of how</w:t>
      </w:r>
      <w:r>
        <w:t xml:space="preserve"> </w:t>
      </w:r>
      <w:r>
        <w:rPr>
          <w:bCs/>
          <w:b/>
        </w:rPr>
        <w:t xml:space="preserve">China Shanghai</w:t>
      </w:r>
      <w:r>
        <w:t xml:space="preserve"> </w:t>
      </w:r>
      <w:r>
        <w:t xml:space="preserve">local authorities interpret national laws differently than inland provinces. The</w:t>
      </w:r>
      <w:r>
        <w:t xml:space="preserve"> </w:t>
      </w:r>
      <w:r>
        <w:rPr>
          <w:iCs/>
          <w:i/>
        </w:rPr>
        <w:t xml:space="preserve">Lawyer</w:t>
      </w:r>
      <w:r>
        <w:t xml:space="preserve"> </w:t>
      </w:r>
      <w:r>
        <w:t xml:space="preserve">drafted the Articles of Association to include specific clauses protecting intellectual property, a critical concern for technology transfer in this region.</w:t>
      </w:r>
    </w:p>
    <w:bookmarkEnd w:id="22"/>
    <w:bookmarkStart w:id="23" w:name="Xe7f0f46fbff2d11cce6bdb534374b8872fd5829"/>
    <w:p>
      <w:pPr>
        <w:pStyle w:val="Heading3"/>
      </w:pPr>
      <w:r>
        <w:t xml:space="preserve">B. Intellectual Property Protection and Enforcement</w:t>
      </w:r>
    </w:p>
    <w:p>
      <w:pPr>
        <w:pStyle w:val="FirstParagraph"/>
      </w:pPr>
      <w:r>
        <w:t xml:space="preserve">Intellectual property (IP) theft remains a significant risk in emerging markets. In</w:t>
      </w:r>
      <w:r>
        <w:t xml:space="preserve"> </w:t>
      </w:r>
      <w:r>
        <w:rPr>
          <w:bCs/>
          <w:b/>
        </w:rPr>
        <w:t xml:space="preserve">China Shanghai</w:t>
      </w:r>
      <w:r>
        <w:t xml:space="preserve">, however, the local courts have established specialized IP tribunals that are increasingly efficient and knowledgeable about international standards. The</w:t>
      </w:r>
      <w:r>
        <w:t xml:space="preserve"> </w:t>
      </w:r>
      <w:r>
        <w:rPr>
          <w:iCs/>
          <w:i/>
        </w:rPr>
        <w:t xml:space="preserve">Lawyer</w:t>
      </w:r>
      <w:r>
        <w:t xml:space="preserve"> </w:t>
      </w:r>
      <w:r>
        <w:t xml:space="preserve">implemented a proactive IP strategy:</w:t>
      </w:r>
    </w:p>
    <w:p>
      <w:pPr>
        <w:numPr>
          <w:ilvl w:val="0"/>
          <w:numId w:val="1002"/>
        </w:numPr>
        <w:pStyle w:val="Compact"/>
      </w:pPr>
      <w:r>
        <w:t xml:space="preserve">Prior registration of trademarks and patents with the Shanghai Intellectual Property Office.</w:t>
      </w:r>
    </w:p>
    <w:p>
      <w:pPr>
        <w:numPr>
          <w:ilvl w:val="0"/>
          <w:numId w:val="1002"/>
        </w:numPr>
        <w:pStyle w:val="Compact"/>
      </w:pPr>
      <w:r>
        <w:t xml:space="preserve">Drafting robust non-disclosure agreements (NDAs) tailored to Chinese labor laws, which can be stricter regarding employee mobility.</w:t>
      </w:r>
    </w:p>
    <w:p>
      <w:pPr>
        <w:pStyle w:val="FirstParagraph"/>
      </w:pPr>
      <w:r>
        <w:t xml:space="preserve">By working closely with the local</w:t>
      </w:r>
      <w:r>
        <w:t xml:space="preserve"> </w:t>
      </w:r>
      <w:r>
        <w:rPr>
          <w:iCs/>
          <w:i/>
        </w:rPr>
        <w:t xml:space="preserve">Lawyer</w:t>
      </w:r>
      <w:r>
        <w:t xml:space="preserve">, the client secured provisional IP rights within weeks, creating a strong defensive posture before competitors could react.</w:t>
      </w:r>
    </w:p>
    <w:bookmarkEnd w:id="23"/>
    <w:bookmarkEnd w:id="24"/>
    <w:bookmarkStart w:id="26" w:name="X203645904a193be21c808435948e73f408fb66f"/>
    <w:p>
      <w:pPr>
        <w:pStyle w:val="Heading2"/>
      </w:pPr>
      <w:r>
        <w:t xml:space="preserve">4. Compliance Challenges: Data Localization and PIPL</w:t>
      </w:r>
    </w:p>
    <w:p>
      <w:pPr>
        <w:pStyle w:val="FirstParagraph"/>
      </w:pPr>
      <w:r>
        <w:t xml:space="preserve">The most complex aspect of the case involved data compliance. The client’s software required processing user data from mainland China. Under China’s new legal framework, certain categories of "important data" cannot be transferred offshore without a security assessment conducted by the Cyberspace Administration of China (CAC).</w:t>
      </w:r>
    </w:p>
    <w:bookmarkStart w:id="25" w:name="the-lawyers-intervention"/>
    <w:p>
      <w:pPr>
        <w:pStyle w:val="Heading3"/>
      </w:pPr>
      <w:r>
        <w:t xml:space="preserve">The Lawyer's Intervention</w:t>
      </w:r>
    </w:p>
    <w:p>
      <w:pPr>
        <w:pStyle w:val="FirstParagraph"/>
      </w:pPr>
      <w:r>
        <w:t xml:space="preserve">The</w:t>
      </w:r>
      <w:r>
        <w:t xml:space="preserve"> </w:t>
      </w:r>
      <w:r>
        <w:rPr>
          <w:iCs/>
          <w:i/>
        </w:rPr>
        <w:t xml:space="preserve">Lawyer</w:t>
      </w:r>
      <w:r>
        <w:t xml:space="preserve"> </w:t>
      </w:r>
      <w:r>
        <w:t xml:space="preserve">in</w:t>
      </w:r>
      <w:r>
        <w:t xml:space="preserve"> </w:t>
      </w:r>
      <w:r>
        <w:rPr>
          <w:bCs/>
          <w:b/>
        </w:rPr>
        <w:t xml:space="preserve">China Shanghai</w:t>
      </w:r>
      <w:r>
        <w:t xml:space="preserve"> </w:t>
      </w:r>
      <w:r>
        <w:t xml:space="preserve">coordinated with technical experts to map the data flow within the client’s ecosystem. They advised on the implementation of local data centers, a common practice in Shanghai for foreign tech firms. The legal team drafted comprehensive privacy policies that met both EU GDPR standards and Chinese PIPL requirements, avoiding conflicts between jurisdictions.</w:t>
      </w:r>
    </w:p>
    <w:p>
      <w:pPr>
        <w:pStyle w:val="BodyText"/>
      </w:pPr>
      <w:r>
        <w:t xml:space="preserve">This dual-compliance approach was crucial. It demonstrated to</w:t>
      </w:r>
      <w:r>
        <w:t xml:space="preserve"> </w:t>
      </w:r>
      <w:r>
        <w:rPr>
          <w:bCs/>
          <w:b/>
        </w:rPr>
        <w:t xml:space="preserve">China Shanghai</w:t>
      </w:r>
      <w:r>
        <w:t xml:space="preserve"> </w:t>
      </w:r>
      <w:r>
        <w:t xml:space="preserve">regulators that the client respected local sovereignty over data, thereby facilitating smoother operational approvals. The</w:t>
      </w:r>
      <w:r>
        <w:t xml:space="preserve"> </w:t>
      </w:r>
      <w:r>
        <w:rPr>
          <w:iCs/>
          <w:i/>
        </w:rPr>
        <w:t xml:space="preserve">Lawyer</w:t>
      </w:r>
      <w:r>
        <w:t xml:space="preserve"> </w:t>
      </w:r>
      <w:r>
        <w:t xml:space="preserve">also conducted internal training for the client’s staff on data handling protocols, ensuring that compliance was embedded in corporate culture rather than treated as an afterthought.</w:t>
      </w:r>
    </w:p>
    <w:bookmarkEnd w:id="25"/>
    <w:bookmarkEnd w:id="26"/>
    <w:bookmarkStart w:id="29" w:name="Xe422271098ea0dd869f07eaa8f4898bb622b846"/>
    <w:p>
      <w:pPr>
        <w:pStyle w:val="Heading2"/>
      </w:pPr>
      <w:r>
        <w:t xml:space="preserve">5. Dispute Resolution: Leveraging Local Mechanisms</w:t>
      </w:r>
    </w:p>
    <w:p>
      <w:pPr>
        <w:pStyle w:val="FirstParagraph"/>
      </w:pPr>
      <w:r>
        <w:t xml:space="preserve">During the initial six months of operation, "Project Horizon" encountered a commercial dispute with a local supplier regarding delivery delays and quality specifications. The supplier attempted to invoke force majeure clauses due to temporary local lockdowns, a situation that had become common in</w:t>
      </w:r>
      <w:r>
        <w:t xml:space="preserve"> </w:t>
      </w:r>
      <w:r>
        <w:rPr>
          <w:bCs/>
          <w:b/>
        </w:rPr>
        <w:t xml:space="preserve">China Shanghai</w:t>
      </w:r>
      <w:r>
        <w:t xml:space="preserve"> </w:t>
      </w:r>
      <w:r>
        <w:t xml:space="preserve">during certain periods.</w:t>
      </w:r>
    </w:p>
    <w:bookmarkStart w:id="27" w:name="a.-mediation-first"/>
    <w:p>
      <w:pPr>
        <w:pStyle w:val="Heading3"/>
      </w:pPr>
      <w:r>
        <w:t xml:space="preserve">A. Mediation First</w:t>
      </w:r>
    </w:p>
    <w:p>
      <w:pPr>
        <w:pStyle w:val="FirstParagraph"/>
      </w:pPr>
      <w:r>
        <w:t xml:space="preserve">Familiar with the Chinese legal culture which prioritizes harmony and mediation (</w:t>
      </w:r>
      <w:r>
        <w:rPr>
          <w:iCs/>
          <w:i/>
        </w:rPr>
        <w:t xml:space="preserve">Tiao Jie</w:t>
      </w:r>
      <w:r>
        <w:t xml:space="preserve">), the</w:t>
      </w:r>
      <w:r>
        <w:t xml:space="preserve"> </w:t>
      </w:r>
      <w:r>
        <w:rPr>
          <w:iCs/>
          <w:i/>
        </w:rPr>
        <w:t xml:space="preserve">Lawyer</w:t>
      </w:r>
      <w:r>
        <w:t xml:space="preserve"> </w:t>
      </w:r>
      <w:r>
        <w:t xml:space="preserve">advised against immediate litigation. Instead, they facilitated high-level negotiations between the client’s executives and the supplier’s management.</w:t>
      </w:r>
    </w:p>
    <w:bookmarkEnd w:id="27"/>
    <w:bookmarkStart w:id="28" w:name="b.-arbitration-strategy"/>
    <w:p>
      <w:pPr>
        <w:pStyle w:val="Heading3"/>
      </w:pPr>
      <w:r>
        <w:t xml:space="preserve">B. Arbitration Strategy</w:t>
      </w:r>
    </w:p>
    <w:p>
      <w:pPr>
        <w:pStyle w:val="FirstParagraph"/>
      </w:pPr>
      <w:r>
        <w:t xml:space="preserve">Negotiations stalled, prompting the need for formal resolution. The contract specified arbitration under Shanghai International Economic and Trade Arbitration Commission (SHIAC). The</w:t>
      </w:r>
      <w:r>
        <w:t xml:space="preserve"> </w:t>
      </w:r>
      <w:r>
        <w:rPr>
          <w:iCs/>
          <w:i/>
        </w:rPr>
        <w:t xml:space="preserve">Lawyer</w:t>
      </w:r>
      <w:r>
        <w:t xml:space="preserve"> </w:t>
      </w:r>
      <w:r>
        <w:t xml:space="preserve">prepared a detailed case file, leveraging SHIAC’s reputation for efficiency compared to local courts. By presenting clear evidence of supply chain logs and communication records, the</w:t>
      </w:r>
      <w:r>
        <w:t xml:space="preserve"> </w:t>
      </w:r>
      <w:r>
        <w:rPr>
          <w:iCs/>
          <w:i/>
        </w:rPr>
        <w:t xml:space="preserve">Lawyer</w:t>
      </w:r>
      <w:r>
        <w:t xml:space="preserve"> </w:t>
      </w:r>
      <w:r>
        <w:t xml:space="preserve">secured a favorable award within four months.</w:t>
      </w:r>
    </w:p>
    <w:p>
      <w:pPr>
        <w:pStyle w:val="BodyText"/>
      </w:pPr>
      <w:r>
        <w:t xml:space="preserve">This outcome highlighted the importance of having a</w:t>
      </w:r>
      <w:r>
        <w:t xml:space="preserve"> </w:t>
      </w:r>
      <w:r>
        <w:rPr>
          <w:bCs/>
          <w:b/>
        </w:rPr>
        <w:t xml:space="preserve">Lawyer</w:t>
      </w:r>
      <w:r>
        <w:t xml:space="preserve"> </w:t>
      </w:r>
      <w:r>
        <w:t xml:space="preserve">who understands not just the letter of the law in</w:t>
      </w:r>
      <w:r>
        <w:t xml:space="preserve"> </w:t>
      </w:r>
      <w:r>
        <w:rPr>
          <w:bCs/>
          <w:b/>
        </w:rPr>
        <w:t xml:space="preserve">China Shanghai</w:t>
      </w:r>
      <w:r>
        <w:t xml:space="preserve">, but also the procedural preferences of local arbitration bodies.</w:t>
      </w:r>
    </w:p>
    <w:bookmarkEnd w:id="28"/>
    <w:bookmarkEnd w:id="29"/>
    <w:bookmarkStart w:id="30" w:name="cultural-and-linguistic-nuances"/>
    <w:p>
      <w:pPr>
        <w:pStyle w:val="Heading2"/>
      </w:pPr>
      <w:r>
        <w:t xml:space="preserve">6. Cultural and Linguistic Nuances</w:t>
      </w:r>
    </w:p>
    <w:p>
      <w:pPr>
        <w:pStyle w:val="FirstParagraph"/>
      </w:pPr>
      <w:r>
        <w:t xml:space="preserve">A critical, yet often overlooked, aspect of legal practice in</w:t>
      </w:r>
      <w:r>
        <w:t xml:space="preserve"> </w:t>
      </w:r>
      <w:r>
        <w:rPr>
          <w:bCs/>
          <w:b/>
        </w:rPr>
        <w:t xml:space="preserve">China Shanghai</w:t>
      </w:r>
      <w:r>
        <w:t xml:space="preserve"> </w:t>
      </w:r>
      <w:r>
        <w:t xml:space="preserve">is language. Legal documents must be drafted in Chinese to be enforceable. The</w:t>
      </w:r>
      <w:r>
        <w:t xml:space="preserve"> </w:t>
      </w:r>
      <w:r>
        <w:rPr>
          <w:iCs/>
          <w:i/>
        </w:rPr>
        <w:t xml:space="preserve">Lawyer</w:t>
      </w:r>
      <w:r>
        <w:t xml:space="preserve"> </w:t>
      </w:r>
      <w:r>
        <w:t xml:space="preserve">ensured that all contracts had a primary Chinese version with an English counterpart for reference only.</w:t>
      </w:r>
    </w:p>
    <w:p>
      <w:pPr>
        <w:pStyle w:val="BodyText"/>
      </w:pPr>
      <w:r>
        <w:t xml:space="preserve">Misinterpretations can arise from subtle differences in terminology between English and Chinese legal terms. For instance, the concept of "good faith" is interpreted differently in civil law systems versus common law jurisdictions. The</w:t>
      </w:r>
      <w:r>
        <w:t xml:space="preserve"> </w:t>
      </w:r>
      <w:r>
        <w:rPr>
          <w:iCs/>
          <w:i/>
        </w:rPr>
        <w:t xml:space="preserve">Lawyer</w:t>
      </w:r>
      <w:r>
        <w:t xml:space="preserve"> </w:t>
      </w:r>
      <w:r>
        <w:t xml:space="preserve">acted as a cultural bridge, explaining to the client why certain concessions were necessary during negotiations to maintain business relationships (Guanxi) with local partners and regulators.</w:t>
      </w:r>
    </w:p>
    <w:bookmarkEnd w:id="30"/>
    <w:bookmarkStart w:id="31" w:name="outcomes-and-key-takeaways"/>
    <w:p>
      <w:pPr>
        <w:pStyle w:val="Heading2"/>
      </w:pPr>
      <w:r>
        <w:t xml:space="preserve">7. Outcomes and Key Takeaways</w:t>
      </w:r>
    </w:p>
    <w:p>
      <w:pPr>
        <w:pStyle w:val="FirstParagraph"/>
      </w:pPr>
      <w:r>
        <w:t xml:space="preserve">The successful establishment of "Project Horizon" in</w:t>
      </w:r>
      <w:r>
        <w:t xml:space="preserve"> </w:t>
      </w:r>
      <w:r>
        <w:rPr>
          <w:bCs/>
          <w:b/>
        </w:rPr>
        <w:t xml:space="preserve">China Shanghai</w:t>
      </w:r>
      <w:r>
        <w:t xml:space="preserve"> </w:t>
      </w:r>
      <w:r>
        <w:t xml:space="preserve">serves as a blueprint for other foreign enterprises. The key outcomes include:</w:t>
      </w:r>
    </w:p>
    <w:p>
      <w:pPr>
        <w:numPr>
          <w:ilvl w:val="0"/>
          <w:numId w:val="1003"/>
        </w:numPr>
        <w:pStyle w:val="Compact"/>
      </w:pPr>
      <w:r>
        <w:t xml:space="preserve">Timely incorporation within three months, leveraging FTZ incentives.</w:t>
      </w:r>
    </w:p>
    <w:p>
      <w:pPr>
        <w:numPr>
          <w:ilvl w:val="0"/>
          <w:numId w:val="1003"/>
        </w:numPr>
        <w:pStyle w:val="Compact"/>
      </w:pPr>
      <w:r>
        <w:t xml:space="preserve">Full compliance with DSL and PIPL, avoiding fines or operational shutdowns.</w:t>
      </w:r>
    </w:p>
    <w:p>
      <w:pPr>
        <w:numPr>
          <w:ilvl w:val="0"/>
          <w:numId w:val="1003"/>
        </w:numPr>
        <w:pStyle w:val="Compact"/>
      </w:pPr>
      <w:r>
        <w:t xml:space="preserve">Successful resolution of the supplier dispute without damaging long-term business relations.</w:t>
      </w:r>
    </w:p>
    <w:p>
      <w:pPr>
        <w:pStyle w:val="FirstParagraph"/>
      </w:pPr>
      <w:r>
        <w:t xml:space="preserve">The case underscores that a</w:t>
      </w:r>
      <w:r>
        <w:t xml:space="preserve"> </w:t>
      </w:r>
      <w:r>
        <w:rPr>
          <w:bCs/>
          <w:b/>
        </w:rPr>
        <w:t xml:space="preserve">Lawyer</w:t>
      </w:r>
      <w:r>
        <w:t xml:space="preserve"> </w:t>
      </w:r>
      <w:r>
        <w:t xml:space="preserve">in</w:t>
      </w:r>
      <w:r>
        <w:t xml:space="preserve"> </w:t>
      </w:r>
      <w:r>
        <w:rPr>
          <w:bCs/>
          <w:b/>
        </w:rPr>
        <w:t xml:space="preserve">China Shanghai</w:t>
      </w:r>
      <w:r>
        <w:t xml:space="preserve">] is not just a legal advisor but a strategic partner. Their value lies in their ability to navigate the intricate web of local regulations, enforce rights through efficient mechanisms, and mitigate risks associated with cultural and linguistic differences.</w:t>
      </w:r>
    </w:p>
    <w:p>
      <w:pPr>
        <w:pStyle w:val="BodyText"/>
      </w:pPr>
      <w:r>
        <w:t xml:space="preserve">"In the fast-paced ecosystem of China Shanghai, legal agility is as important as financial capital. A skilled Lawyer provides the structural integrity needed for international businesses to thrive amidst regulatory complexity."</w:t>
      </w:r>
    </w:p>
    <w:bookmarkEnd w:id="31"/>
    <w:bookmarkStart w:id="32" w:name="conclusion"/>
    <w:p>
      <w:pPr>
        <w:pStyle w:val="Heading2"/>
      </w:pPr>
      <w:r>
        <w:t xml:space="preserve">8. Conclusion</w:t>
      </w:r>
    </w:p>
    <w:p>
      <w:pPr>
        <w:pStyle w:val="FirstParagraph"/>
      </w:pPr>
      <w:r>
        <w:t xml:space="preserve">As global markets continue to shift,</w:t>
      </w:r>
      <w:r>
        <w:t xml:space="preserve"> </w:t>
      </w:r>
      <w:r>
        <w:rPr>
          <w:bCs/>
          <w:b/>
        </w:rPr>
        <w:t xml:space="preserve">China Shanghai</w:t>
      </w:r>
      <w:r>
        <w:t xml:space="preserve"> </w:t>
      </w:r>
      <w:r>
        <w:t xml:space="preserve">remains a critical node in international commerce. The case of "Project Horizon" illustrates that success in this region requires more than just capital; it demands sophisticated legal support.</w:t>
      </w:r>
    </w:p>
    <w:p>
      <w:pPr>
        <w:pStyle w:val="BodyText"/>
      </w:pPr>
      <w:r>
        <w:t xml:space="preserve">The role of the</w:t>
      </w:r>
      <w:r>
        <w:t xml:space="preserve"> </w:t>
      </w:r>
      <w:r>
        <w:rPr>
          <w:iCs/>
          <w:i/>
        </w:rPr>
        <w:t xml:space="preserve">Lawyer</w:t>
      </w:r>
      <w:r>
        <w:t xml:space="preserve"> </w:t>
      </w:r>
      <w:r>
        <w:t xml:space="preserve">has evolved from passive compliance checking to active strategic planning. By integrating local knowledge with international best practices, legal professionals in</w:t>
      </w:r>
      <w:r>
        <w:t xml:space="preserve"> </w:t>
      </w:r>
      <w:r>
        <w:rPr>
          <w:bCs/>
          <w:b/>
        </w:rPr>
        <w:t xml:space="preserve">China Shanghai</w:t>
      </w:r>
      <w:r>
        <w:t xml:space="preserve">] enable foreign entities to mitigate risks and capitalize on opportunities. For any organization looking to invest in or operate within this dynamic jurisdiction, engaging a qualified</w:t>
      </w:r>
      <w:r>
        <w:t xml:space="preserve"> </w:t>
      </w:r>
      <w:r>
        <w:rPr>
          <w:bCs/>
          <w:b/>
        </w:rPr>
        <w:t xml:space="preserve">Lawyer</w:t>
      </w:r>
      <w:r>
        <w:t xml:space="preserve"> </w:t>
      </w:r>
      <w:r>
        <w:t xml:space="preserve">is not an optional expense but a fundamental requirement for sustainable growth.</w:t>
      </w:r>
    </w:p>
    <w:p>
      <w:pPr>
        <w:pStyle w:val="BodyText"/>
      </w:pPr>
      <w:r>
        <w:t xml:space="preserve">This case study reaffirms that understanding the local legal landscape of</w:t>
      </w:r>
      <w:r>
        <w:t xml:space="preserve"> </w:t>
      </w:r>
      <w:r>
        <w:rPr>
          <w:bCs/>
          <w:b/>
        </w:rPr>
        <w:t xml:space="preserve">China Shanghai</w:t>
      </w:r>
      <w:r>
        <w:t xml:space="preserve">] is indispensable. It highlights the necessity of adapting legal strategies to fit the unique socio-political and economic context of the region, ensuring that businesses remain compliant, competitive, and resilient in one of the world’s most important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Strategy and Compliance in China Shanghai</dc:title>
  <dc:creator/>
  <dc:language>en</dc:language>
  <cp:keywords/>
  <dcterms:created xsi:type="dcterms:W3CDTF">2026-07-29T15:44:48Z</dcterms:created>
  <dcterms:modified xsi:type="dcterms:W3CDTF">2026-07-29T15:44:48Z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