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Colombia</w:t>
      </w:r>
      <w:r>
        <w:t xml:space="preserve"> </w:t>
      </w:r>
      <w:r>
        <w:t xml:space="preserve">Medellín</w:t>
      </w:r>
    </w:p>
    <w:bookmarkStart w:id="31" w:name="X3afe196081ec05089aeea21f15fa21a437a0320"/>
    <w:p>
      <w:pPr>
        <w:pStyle w:val="Heading1"/>
      </w:pPr>
      <w:r>
        <w:t xml:space="preserve">Case Study: Strategic Legal Representation for a Manufacturing Enterprise in Colombia Medellín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Colombia, specifically Medellín (Antioquia)</w:t>
      </w:r>
      <w:r>
        <w:br/>
      </w:r>
      <w:r>
        <w:rPr>
          <w:bCs/>
          <w:b/>
        </w:rPr>
        <w:t xml:space="preserve">Firm Specialization:</w:t>
      </w:r>
    </w:p>
    <w:bookmarkStart w:id="20" w:name="executive-summary"/>
    <w:p>
      <w:pPr>
        <w:pStyle w:val="Heading2"/>
      </w:pPr>
      <w:r>
        <w:t xml:space="preserve">1. Executive Summary</w:t>
      </w:r>
    </w:p>
    <w:p>
      <w:pPr>
        <w:pStyle w:val="FirstParagraph"/>
      </w:pPr>
      <w:r>
        <w:t xml:space="preserve">This case study details the legal intervention required to resolve a complex multi-faceted dispute involving a mid-sized manufacturing company based in the industrial sector of Colombia Medellín. The client, referred to herein as "MetroManufactura S.A.S.," faced significant operational and financial risks due to a combination of labor disputes, regulatory non-compliance allegations from local environmental authorities, and contractual breaches with international suppliers. This document outlines how specialized legal counsel navigated the intricate legal landscape of Colombia Medellín to protect the client’s interests, ensure business continuity, and establish a robust framework for future compliance.</w:t>
      </w:r>
    </w:p>
    <w:bookmarkEnd w:id="20"/>
    <w:bookmarkStart w:id="21" w:name="client-profile-and-context"/>
    <w:p>
      <w:pPr>
        <w:pStyle w:val="Heading2"/>
      </w:pPr>
      <w:r>
        <w:t xml:space="preserve">2. Client Profile and Context</w:t>
      </w:r>
    </w:p>
    <w:p>
      <w:pPr>
        <w:pStyle w:val="FirstParagraph"/>
      </w:pPr>
      <w:r>
        <w:t xml:space="preserve">MetroManufactura S.A.S. is a prominent entity located in the heart of Medellín’s industrial belt, an area known for its textile and engineering output. The company employs over 150 workers and has recently sought to expand its export market to North America. However, rapid growth had outpaced the establishment of internal legal controls, leading to vulnerabilities that were exploited by former employees and tested by regulatory bodies. The specific challenges included claims of wrongful termination filed collectively by a unionized group of workers, an investigation into alleged improper waste disposal managed under outdated permits, and a breach of contract claim from a German supplier citing non-payment linked to currency fluctuation clauses.</w:t>
      </w:r>
    </w:p>
    <w:bookmarkEnd w:id="21"/>
    <w:bookmarkStart w:id="22" w:name="legal-challenges-identified"/>
    <w:p>
      <w:pPr>
        <w:pStyle w:val="Heading2"/>
      </w:pPr>
      <w:r>
        <w:t xml:space="preserve">3. Legal Challenges Identified</w:t>
      </w:r>
    </w:p>
    <w:p>
      <w:pPr>
        <w:pStyle w:val="FirstParagraph"/>
      </w:pPr>
      <w:r>
        <w:t xml:space="preserve">The legal team identified three primary vectors of risk that required immediate attention:</w:t>
      </w:r>
    </w:p>
    <w:p>
      <w:pPr>
        <w:numPr>
          <w:ilvl w:val="0"/>
          <w:numId w:val="1001"/>
        </w:numPr>
        <w:pStyle w:val="Compact"/>
      </w:pPr>
      <w:r>
        <w:rPr>
          <w:bCs/>
          <w:b/>
        </w:rPr>
        <w:t xml:space="preserve">Labor Law Complexity:</w:t>
      </w:r>
    </w:p>
    <w:p>
      <w:pPr>
        <w:numPr>
          <w:ilvl w:val="0"/>
          <w:numId w:val="1001"/>
        </w:numPr>
        <w:pStyle w:val="Compact"/>
      </w:pPr>
      <w:r>
        <w:rPr>
          <w:bCs/>
          <w:b/>
        </w:rPr>
        <w:t xml:space="preserve">Environmental Regulatory Pressure:</w:t>
      </w:r>
    </w:p>
    <w:p>
      <w:pPr>
        <w:numPr>
          <w:ilvl w:val="0"/>
          <w:numId w:val="1001"/>
        </w:numPr>
        <w:pStyle w:val="Compact"/>
      </w:pPr>
      <w:r>
        <w:rPr>
          <w:bCs/>
          <w:b/>
        </w:rPr>
        <w:t xml:space="preserve">Contractual Dispute and Force Majeure:</w:t>
      </w:r>
    </w:p>
    <w:bookmarkEnd w:id="22"/>
    <w:bookmarkStart w:id="26" w:name="strategic-legal-approach"/>
    <w:p>
      <w:pPr>
        <w:pStyle w:val="Heading2"/>
      </w:pPr>
      <w:r>
        <w:t xml:space="preserve">4. Strategic Legal Approach</w:t>
      </w:r>
    </w:p>
    <w:p>
      <w:pPr>
        <w:pStyle w:val="FirstParagraph"/>
      </w:pPr>
      <w:r>
        <w:t xml:space="preserve">The legal strategy was designed with a holistic view of the business environment in Colombia Medellín. The approach focused on three pillars: Defense, Negotiation, and Prevention.</w:t>
      </w:r>
    </w:p>
    <w:bookmarkStart w:id="23" w:name="a.-labor-dispute-resolution"/>
    <w:p>
      <w:pPr>
        <w:pStyle w:val="Heading3"/>
      </w:pPr>
      <w:r>
        <w:t xml:space="preserve">A. Labor Dispute Resolution</w:t>
      </w:r>
    </w:p>
    <w:p>
      <w:pPr>
        <w:pStyle w:val="FirstParagraph"/>
      </w:pPr>
      <w:r>
        <w:t xml:space="preserve">The lawyers initiated a mediation process before the Ministry of Labor’s regional office in Antioquia. Recognizing that prolonged litigation could damage the company’s reputation within the tight-knit business community of Colombia Medellín, the legal team proposed a settlement package that included severance payments compliant with statutory minimums plus an additional goodwill bonus. This pragmatic approach avoided a public trial and allowed for a quicker resolution, preserving workplace harmony.</w:t>
      </w:r>
    </w:p>
    <w:bookmarkEnd w:id="23"/>
    <w:bookmarkStart w:id="24" w:name="b.-environmental-compliance-remediation"/>
    <w:p>
      <w:pPr>
        <w:pStyle w:val="Heading3"/>
      </w:pPr>
      <w:r>
        <w:t xml:space="preserve">B. Environmental Compliance Remediation</w:t>
      </w:r>
    </w:p>
    <w:p>
      <w:pPr>
        <w:pStyle w:val="FirstParagraph"/>
      </w:pPr>
      <w:r>
        <w:t xml:space="preserve">To address the regulatory sanctions, the legal counsel immediately audited all waste management contracts and operational protocols. They engaged with environmental lawyers specialized in Antioquian regulations to demonstrate good faith efforts to correct the deficiencies. The legal team submitted a comprehensive remediation plan that included new technology investments for waste treatment. This proactive stance significantly reduced the potential fines from the Environmental Autonomy of Antioquia, shifting the narrative from negligence to corrective action.</w:t>
      </w:r>
    </w:p>
    <w:bookmarkEnd w:id="24"/>
    <w:bookmarkStart w:id="25" w:name="X3857adb81322e9049fa9ab8a3b25c0e26cc72ea"/>
    <w:p>
      <w:pPr>
        <w:pStyle w:val="Heading3"/>
      </w:pPr>
      <w:r>
        <w:t xml:space="preserve">C. International Contract Arbitration Preparation</w:t>
      </w:r>
    </w:p>
    <w:p>
      <w:pPr>
        <w:pStyle w:val="FirstParagraph"/>
      </w:pPr>
      <w:r>
        <w:t xml:space="preserve">Regarding the international supplier dispute, the legal team prepared for international arbitration in London, as stipulated by the contract. However, prior to initiating costly proceedings, they leveraged local banking regulations in Colombia Medellín to negotiate a restructuring of the payment schedule with German counterparties. By providing proof of financial stability and a revised timeline backed by Colombian legal opinions on currency controls, the lawyers secured an amendment to the contract that paused penalty accruals while payments were restructured.</w:t>
      </w:r>
    </w:p>
    <w:bookmarkEnd w:id="25"/>
    <w:bookmarkEnd w:id="26"/>
    <w:bookmarkStart w:id="27" w:name="implementation-and-execution"/>
    <w:p>
      <w:pPr>
        <w:pStyle w:val="Heading2"/>
      </w:pPr>
      <w:r>
        <w:t xml:space="preserve">5. Implementation and Execution</w:t>
      </w:r>
    </w:p>
    <w:p>
      <w:pPr>
        <w:pStyle w:val="FirstParagraph"/>
      </w:pPr>
      <w:r>
        <w:t xml:space="preserve">The execution phase required close coordination between the legal department, HR management, and external environmental consultants. The lawyers acted as the central point of communication, ensuring that all legal arguments were supported by factual evidence and aligned with local judicial precedents in Medellín. Regular updates were provided to the board of directors to manage stakeholder expectations. The team utilized digital case management systems compatible with Colombian court protocols, ensuring efficient submission of documents and monitoring hearing dates.</w:t>
      </w:r>
    </w:p>
    <w:bookmarkEnd w:id="27"/>
    <w:bookmarkStart w:id="28" w:name="outcomes-and-results"/>
    <w:p>
      <w:pPr>
        <w:pStyle w:val="Heading2"/>
      </w:pPr>
      <w:r>
        <w:t xml:space="preserve">6. Outcomes and Results</w:t>
      </w:r>
    </w:p>
    <w:p>
      <w:pPr>
        <w:pStyle w:val="FirstParagraph"/>
      </w:pPr>
      <w:r>
        <w:t xml:space="preserve">The strategic intervention yielded positive outcomes across all three fronts:</w:t>
      </w:r>
    </w:p>
    <w:p>
      <w:pPr>
        <w:numPr>
          <w:ilvl w:val="0"/>
          <w:numId w:val="1002"/>
        </w:numPr>
        <w:pStyle w:val="Compact"/>
      </w:pPr>
      <w:r>
        <w:rPr>
          <w:bCs/>
          <w:b/>
        </w:rPr>
        <w:t xml:space="preserve">Labor:</w:t>
      </w:r>
    </w:p>
    <w:p>
      <w:pPr>
        <w:numPr>
          <w:ilvl w:val="0"/>
          <w:numId w:val="1002"/>
        </w:numPr>
        <w:pStyle w:val="Compact"/>
      </w:pPr>
      <w:r>
        <w:rPr>
          <w:bCs/>
          <w:b/>
        </w:rPr>
        <w:t xml:space="preserve">Environmental:</w:t>
      </w:r>
      <w:r>
        <w:t xml:space="preserve">The Environmental Autonomy of Antioquia suspended further proceedings pending proof of compliance, which MetroManufactura achieved within six months. The initial fine was reduced by 60% due to the cooperation demonstrated.</w:t>
      </w:r>
    </w:p>
    <w:p>
      <w:pPr>
        <w:numPr>
          <w:ilvl w:val="0"/>
          <w:numId w:val="1002"/>
        </w:numPr>
        <w:pStyle w:val="Compact"/>
      </w:pPr>
      <w:r>
        <w:t xml:space="preserve">Commercial:</w:t>
      </w:r>
    </w:p>
    <w:bookmarkEnd w:id="28"/>
    <w:bookmarkStart w:id="29" w:name="lessons-learned-and-recommendations"/>
    <w:p>
      <w:pPr>
        <w:pStyle w:val="Heading2"/>
      </w:pPr>
      <w:r>
        <w:t xml:space="preserve">7. Lessons Learned and Recommendations</w:t>
      </w:r>
    </w:p>
    <w:p>
      <w:pPr>
        <w:pStyle w:val="FirstParagraph"/>
      </w:pPr>
      <w:r>
        <w:t xml:space="preserve">This case study highlights several critical lessons for businesses operating in Colombia Medellín:</w:t>
      </w:r>
    </w:p>
    <w:p>
      <w:pPr>
        <w:pStyle w:val="BodyText"/>
      </w:pPr>
      <w:r>
        <w:rPr>
          <w:iCs/>
          <w:i/>
          <w:bCs/>
          <w:b/>
        </w:rPr>
        <w:t xml:space="preserve">"Proactive legal integration is not merely a defensive measure but a strategic asset."</w:t>
      </w:r>
      <w:r>
        <w:br/>
      </w:r>
      <w:r>
        <w:br/>
      </w:r>
      <w:r>
        <w:t xml:space="preserve">In the dynamic economic environment of Colombia Medellín, waiting for disputes to arise before engaging legal counsel often results in higher costs and reputational damage. MetroManufactura’s experience underscores the importance of embedding legal compliance into daily operations.</w:t>
      </w:r>
    </w:p>
    <w:p>
      <w:pPr>
        <w:pStyle w:val="BodyText"/>
      </w:pPr>
      <w:r>
        <w:rPr>
          <w:bCs/>
          <w:b/>
        </w:rPr>
        <w:t xml:space="preserve">Key Recommendations:</w:t>
      </w:r>
    </w:p>
    <w:p>
      <w:pPr>
        <w:numPr>
          <w:ilvl w:val="0"/>
          <w:numId w:val="1003"/>
        </w:numPr>
        <w:pStyle w:val="Compact"/>
      </w:pPr>
      <w:r>
        <w:rPr>
          <w:bCs/>
          <w:b/>
        </w:rPr>
        <w:t xml:space="preserve">Labor Audits:</w:t>
      </w:r>
    </w:p>
    <w:p>
      <w:pPr>
        <w:numPr>
          <w:ilvl w:val="0"/>
          <w:numId w:val="1003"/>
        </w:numPr>
        <w:pStyle w:val="Compact"/>
      </w:pPr>
      <w:r>
        <w:rPr>
          <w:bCs/>
          <w:b/>
        </w:rPr>
        <w:t xml:space="preserve">Risk Management:</w:t>
      </w:r>
    </w:p>
    <w:p>
      <w:pPr>
        <w:numPr>
          <w:ilvl w:val="0"/>
          <w:numId w:val="1003"/>
        </w:numPr>
        <w:pStyle w:val="Compact"/>
      </w:pPr>
      <w:r>
        <w:rPr>
          <w:bCs/>
          <w:b/>
        </w:rPr>
        <w:t xml:space="preserve">Local Expertise:</w:t>
      </w:r>
    </w:p>
    <w:bookmarkEnd w:id="29"/>
    <w:bookmarkStart w:id="30" w:name="conclusion"/>
    <w:p>
      <w:pPr>
        <w:pStyle w:val="Heading2"/>
      </w:pPr>
      <w:r>
        <w:t xml:space="preserve">8. Conclusion</w:t>
      </w:r>
    </w:p>
    <w:p>
      <w:pPr>
        <w:pStyle w:val="FirstParagraph"/>
      </w:pPr>
      <w:r>
        <w:t xml:space="preserve">The successful navigation of these complex legal challenges by MetroManufactura S.A.S. serves as a testament to the value of specialized legal representation. By leveraging deep knowledge of Colombian law and the specific nuances of doing business in Colombia Medellín, the legal team transformed a period of crisis into an opportunity for structural improvement. This case study demonstrates that effective lawyering in this region requires not only technical legal proficiency but also strategic business acumen and cultural sensitivity.</w:t>
      </w:r>
    </w:p>
    <w:p>
      <w:pPr>
        <w:pStyle w:val="BodyText"/>
      </w:pPr>
      <w:r>
        <w:t xml:space="preserve">For other enterprises looking to establish or expand their presence in Colombia Medellín, this case underscores the necessity of partnering with a Lawyer who understands the local regulatory ecosystem. The interplay between national labor laws, regional environmental regulations, and international commercial contracts creates a unique legal landscape that demands tailored solutions. As evidenced by this case study, such tailored legal strategies are essential for sustainable growth and risk mitigation in Colombia Medellín.</w:t>
      </w:r>
    </w:p>
    <w:p>
      <w:r>
        <w:pict>
          <v:rect style="width:0;height:1.5pt" o:hralign="center" o:hrstd="t" o:hr="t"/>
        </w:pict>
      </w:r>
    </w:p>
    <w:p>
      <w:pPr>
        <w:pStyle w:val="FirstParagraph"/>
      </w:pPr>
      <w:r>
        <w:rPr>
          <w:iCs/>
          <w:i/>
        </w:rPr>
        <w:t xml:space="preserve">Note: This document is a fictional case study created for illustrative purposes. Any resemblance to actual events or entities, past or present, is purely coincidental.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Colombia Medellín</dc:title>
  <dc:creator/>
  <dc:language>en</dc:language>
  <cp:keywords/>
  <dcterms:created xsi:type="dcterms:W3CDTF">2026-07-29T16:58:45Z</dcterms:created>
  <dcterms:modified xsi:type="dcterms:W3CDTF">2026-07-29T16:58:45Z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