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France</w:t>
      </w:r>
      <w:r>
        <w:t xml:space="preserve"> </w:t>
      </w:r>
      <w:r>
        <w:t xml:space="preserve">Paris</w:t>
      </w:r>
    </w:p>
    <w:bookmarkStart w:id="28" w:name="Xd5806ceacbec8c7101efafdea7e7984b866bb2b"/>
    <w:p>
      <w:pPr>
        <w:pStyle w:val="Heading1"/>
      </w:pPr>
      <w:r>
        <w:t xml:space="preserve">Strategic Legal Defense and Compliance in the Heart of Europe: A Case Study of High-Stakes Litigation in France Paris</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Republic of France</w:t>
      </w:r>
      <w:r>
        <w:br/>
      </w:r>
      <w:r>
        <w:rPr>
          <w:bCs/>
          <w:b/>
        </w:rPr>
        <w:t xml:space="preserve">District:</w:t>
      </w:r>
      <w:r>
        <w:t xml:space="preserve"> </w:t>
      </w:r>
      <w:r>
        <w:t xml:space="preserve">Paris (Île-de-France)</w:t>
      </w:r>
      <w:r>
        <w:br/>
      </w:r>
    </w:p>
    <w:p>
      <w:pPr>
        <w:pStyle w:val="BodyText"/>
      </w:pPr>
      <w:r>
        <w:t xml:space="preserve">Focal Point:</w:t>
      </w:r>
    </w:p>
    <w:bookmarkStart w:id="20" w:name="i.-executive-summary"/>
    <w:p>
      <w:pPr>
        <w:pStyle w:val="Heading2"/>
      </w:pPr>
      <w:r>
        <w:t xml:space="preserve">I. Executive Summary</w:t>
      </w:r>
    </w:p>
    <w:p>
      <w:pPr>
        <w:pStyle w:val="FirstParagraph"/>
      </w:pPr>
      <w:r>
        <w:t xml:space="preserve">This case study examines a complex legal scenario involving international corporate compliance and intellectual property rights, situated within the dynamic judicial landscape of France Paris. The primary objective is to illustrate the critical role played by a specialized Lawyer in navigating the nuances of French civil law, procedural intricacies, and cross-border regulatory frameworks. In a globalized economy where Paris serves as a hub for finance, fashion, and technology disputes involving international clients who require precise legal counsel that understands both local statutes and international expectations.</w:t>
      </w:r>
    </w:p>
    <w:bookmarkEnd w:id="20"/>
    <w:bookmarkStart w:id="21" w:name="ii.-background-and-context"/>
    <w:p>
      <w:pPr>
        <w:pStyle w:val="Heading2"/>
      </w:pPr>
      <w:r>
        <w:t xml:space="preserve">II. Background and Context</w:t>
      </w:r>
    </w:p>
    <w:p>
      <w:pPr>
        <w:pStyle w:val="FirstParagraph"/>
      </w:pPr>
      <w:r>
        <w:t xml:space="preserve">The subject of this case study is "NexTech Solutions," a multinational technology firm headquartered in Silicon Valley, which had recently established its European headquarters in the La Défense district of Paris, France Paris. NexTech faced a significant legal challenge when a local competitor, "Parisian Innovation Labs," filed a lawsuit alleging trade secret theft and breach of non-compete agreements. The dispute escalated quickly due to the high stakes involved: proprietary algorithms worth millions of euros were allegedly being utilized by the competitor to launch a rival product just weeks ahead of NexTech’s planned market entry.</w:t>
      </w:r>
    </w:p>
    <w:p>
      <w:pPr>
        <w:pStyle w:val="BodyText"/>
      </w:pPr>
      <w:r>
        <w:t xml:space="preserve">The complexity was heightened by the fact that NexTech’s employees were subject to French labor laws, while their intellectual property agreements referenced international arbitration clauses. This created a jurisdictional ambiguity that required immediate and sophisticated intervention from a Lawyer familiar with the specific legal culture and procedural codes of France Paris.</w:t>
      </w:r>
    </w:p>
    <w:bookmarkEnd w:id="21"/>
    <w:bookmarkStart w:id="22" w:name="iii.-the-legal-challenge"/>
    <w:p>
      <w:pPr>
        <w:pStyle w:val="Heading2"/>
      </w:pPr>
      <w:r>
        <w:t xml:space="preserve">III. The Legal Challenge</w:t>
      </w:r>
    </w:p>
    <w:p>
      <w:pPr>
        <w:pStyle w:val="FirstParagraph"/>
      </w:pPr>
      <w:r>
        <w:t xml:space="preserve">The core issue revolved around the interpretation of French labor code regarding intellectual property created by employees during their tenure. Under French law, inventions made by employees in the course of their duties often belong to the employer, but strict procedural requirements must be met to enforce this. NexTech argued that the former employee had violated a non-compete clause that was deemed overly broad under European Union standards and French judicial precedent.</w:t>
      </w:r>
    </w:p>
    <w:p>
      <w:pPr>
        <w:pStyle w:val="BodyText"/>
      </w:pPr>
      <w:r>
        <w:t xml:space="preserve">The opposing counsel, based in France Paris, sought an injunction from the Tribunal de Commerce (Commercial Court) to halt the competitor’s product launch. However, NexTech needed to counter this with evidence of independent development and challenge the enforceability of the non-compete clause. This required a Lawyer who could adeptly switch between civil law arguments and common law expectations, bridging the gap for their international clients.</w:t>
      </w:r>
    </w:p>
    <w:bookmarkEnd w:id="22"/>
    <w:bookmarkStart w:id="23" w:name="iv.-strategy-formulation"/>
    <w:p>
      <w:pPr>
        <w:pStyle w:val="Heading2"/>
      </w:pPr>
      <w:r>
        <w:t xml:space="preserve">IV. Strategy Formulation</w:t>
      </w:r>
    </w:p>
    <w:p>
      <w:pPr>
        <w:pStyle w:val="FirstParagraph"/>
      </w:pPr>
      <w:r>
        <w:t xml:space="preserve">The assigned Lawyer adopted a multi-pronged strategy tailored to the French legal system:</w:t>
      </w:r>
    </w:p>
    <w:p>
      <w:pPr>
        <w:numPr>
          <w:ilvl w:val="0"/>
          <w:numId w:val="1001"/>
        </w:numPr>
        <w:pStyle w:val="Compact"/>
      </w:pPr>
      <w:r>
        <w:rPr>
          <w:bCs/>
          <w:b/>
        </w:rPr>
        <w:t xml:space="preserve">Jurisdictional Analysis:</w:t>
      </w:r>
      <w:r>
        <w:t xml:space="preserve"> </w:t>
      </w:r>
      <w:r>
        <w:t xml:space="preserve">The Lawyer first analyzed the jurisdiction of the Tribunal de Commerce in France Paris. It was determined that while some aspects fell under civil law, certain contractual elements might allow for arbitration clauses to be invoked, potentially moving the dispute out of the local courts.</w:t>
      </w:r>
    </w:p>
    <w:p>
      <w:pPr>
        <w:numPr>
          <w:ilvl w:val="0"/>
          <w:numId w:val="1001"/>
        </w:numPr>
        <w:pStyle w:val="Compact"/>
      </w:pPr>
      <w:r>
        <w:rPr>
          <w:bCs/>
          <w:b/>
        </w:rPr>
        <w:t xml:space="preserve">Evidence Preservation:</w:t>
      </w:r>
      <w:r>
        <w:t xml:space="preserve"> </w:t>
      </w:r>
      <w:r>
        <w:t xml:space="preserve">Recognizing that French courts place heavy emphasis on written evidence and expert testimony, the Lawyer coordinated with forensic IT experts in France Paris to preserve digital trails proving independent development by NexTech’s research team.</w:t>
      </w:r>
    </w:p>
    <w:p>
      <w:pPr>
        <w:numPr>
          <w:ilvl w:val="0"/>
          <w:numId w:val="1001"/>
        </w:numPr>
        <w:pStyle w:val="Compact"/>
      </w:pPr>
      <w:r>
        <w:rPr>
          <w:bCs/>
          <w:b/>
        </w:rPr>
        <w:t xml:space="preserve">Pre-Litigation Negotiation:</w:t>
      </w:r>
      <w:r>
        <w:t xml:space="preserve"> </w:t>
      </w:r>
      <w:r>
        <w:t xml:space="preserve">Before proceeding to full trial, the Lawyer initiated mediation talks. In France Paris, mediation is increasingly favored for commercial disputes. The goal was to settle the matter quietly and efficiently, avoiding public disclosure that could harm NexTech’s brand reputation in the European market.</w:t>
      </w:r>
    </w:p>
    <w:bookmarkEnd w:id="23"/>
    <w:bookmarkStart w:id="24" w:name="v.-execution-and-proceedings"/>
    <w:p>
      <w:pPr>
        <w:pStyle w:val="Heading2"/>
      </w:pPr>
      <w:r>
        <w:t xml:space="preserve">V. Execution and Proceedings</w:t>
      </w:r>
    </w:p>
    <w:p>
      <w:pPr>
        <w:pStyle w:val="FirstParagraph"/>
      </w:pPr>
      <w:r>
        <w:t xml:space="preserve">The proceedings took place in the heart of Paris, leveraging the Lawyer’s deep network within local legal circles. The initial hearing before the Judge of Expedients (Juge des Référés) was crucial. The Lawyer presented a detailed brief arguing that the non-compete clause was disproportionate, citing recent rulings from the Cour de Cassation (France’s highest civil court). This demonstrated to the French judges that NexTech respected local legal precedents while asserting its rights.</w:t>
      </w:r>
    </w:p>
    <w:p>
      <w:pPr>
        <w:pStyle w:val="BodyText"/>
      </w:pPr>
      <w:r>
        <w:t xml:space="preserve">Simultaneously, the Lawyer filed a counter-claim for unfair competition. By doing so, they shifted the burden of proof onto Parisian Innovation Labs to demonstrate that their product was not derived from NexTech’s confidential information. This tactical move forced the opposing party into a defensive posture.</w:t>
      </w:r>
    </w:p>
    <w:bookmarkEnd w:id="24"/>
    <w:bookmarkStart w:id="25" w:name="vi.-outcome-and-resolution"/>
    <w:p>
      <w:pPr>
        <w:pStyle w:val="Heading2"/>
      </w:pPr>
      <w:r>
        <w:t xml:space="preserve">VI. Outcome and Resolution</w:t>
      </w:r>
    </w:p>
    <w:p>
      <w:pPr>
        <w:pStyle w:val="FirstParagraph"/>
      </w:pPr>
      <w:r>
        <w:t xml:space="preserve">The case did not go to a full trial. Instead, following several rounds of intense negotiation facilitated by the Lawyer, a settlement was reached within three months. Key terms included:</w:t>
      </w:r>
    </w:p>
    <w:p>
      <w:pPr>
        <w:numPr>
          <w:ilvl w:val="0"/>
          <w:numId w:val="1002"/>
        </w:numPr>
        <w:pStyle w:val="Compact"/>
      </w:pPr>
      <w:r>
        <w:t xml:space="preserve">A confidentiality agreement protecting NexTech’s proprietary data.</w:t>
      </w:r>
    </w:p>
    <w:p>
      <w:pPr>
        <w:numPr>
          <w:ilvl w:val="0"/>
          <w:numId w:val="1002"/>
        </w:numPr>
        <w:pStyle w:val="Compact"/>
      </w:pPr>
      <w:r>
        <w:t xml:space="preserve">A financial compensation package for NexTech.</w:t>
      </w:r>
    </w:p>
    <w:p>
      <w:pPr>
        <w:numPr>
          <w:ilvl w:val="0"/>
          <w:numId w:val="1002"/>
        </w:numPr>
        <w:pStyle w:val="Compact"/>
      </w:pPr>
      <w:r>
        <w:t xml:space="preserve">The withdrawal of the non-compete restrictions, allowing the former employee to work freely in a different sector.</w:t>
      </w:r>
    </w:p>
    <w:p>
      <w:pPr>
        <w:pStyle w:val="FirstParagraph"/>
      </w:pPr>
      <w:r>
        <w:t xml:space="preserve">This resolution was achieved without public litigation, preserving business relationships and minimizing reputational risk. The Lawyer’s ability to navigate the formalities of French courts while leveraging informal mediation channels proved decisive.</w:t>
      </w:r>
    </w:p>
    <w:bookmarkEnd w:id="25"/>
    <w:bookmarkStart w:id="26" w:name="vii.-analysis-and-key-takeaways"/>
    <w:p>
      <w:pPr>
        <w:pStyle w:val="Heading2"/>
      </w:pPr>
      <w:r>
        <w:t xml:space="preserve">VII. Analysis and Key Takeaways</w:t>
      </w:r>
    </w:p>
    <w:p>
      <w:pPr>
        <w:pStyle w:val="FirstParagraph"/>
      </w:pPr>
      <w:r>
        <w:t xml:space="preserve">This case study highlights several critical lessons for international businesses operating in France Paris:</w:t>
      </w:r>
    </w:p>
    <w:p>
      <w:pPr>
        <w:numPr>
          <w:ilvl w:val="0"/>
          <w:numId w:val="1003"/>
        </w:numPr>
        <w:pStyle w:val="Compact"/>
      </w:pPr>
      <w:r>
        <w:rPr>
          <w:bCs/>
          <w:b/>
        </w:rPr>
        <w:t xml:space="preserve">Importance of Local Expertise:</w:t>
      </w:r>
      <w:r>
        <w:t xml:space="preserve">A Lawyer with specific experience in France Paris is indispensable. Knowledge of local court cultures, judicial attitudes, and procedural deadlines can make or break a case.</w:t>
      </w:r>
    </w:p>
    <w:p>
      <w:pPr>
        <w:numPr>
          <w:ilvl w:val="0"/>
          <w:numId w:val="1003"/>
        </w:numPr>
        <w:pStyle w:val="Compact"/>
      </w:pPr>
      <w:r>
        <w:rPr>
          <w:bCs/>
          <w:b/>
        </w:rPr>
        <w:t xml:space="preserve">Cultural and Legal Nuances:</w:t>
      </w:r>
      <w:r>
        <w:t xml:space="preserve">French law is civil-based but heavily influenced by EU regulations. A successful defense requires understanding this hybrid nature.</w:t>
      </w:r>
    </w:p>
    <w:p>
      <w:pPr>
        <w:numPr>
          <w:ilvl w:val="0"/>
          <w:numId w:val="1003"/>
        </w:numPr>
        <w:pStyle w:val="Compact"/>
      </w:pPr>
      <w:r>
        <w:rPr>
          <w:bCs/>
          <w:b/>
        </w:rPr>
        <w:t xml:space="preserve">Proactive Risk Management:</w:t>
      </w:r>
      <w:r>
        <w:t xml:space="preserve">The Lawyer’s initial advice on contract structuring could have prevented the dispute entirely. This underscores the value of preventive legal counsel.</w:t>
      </w:r>
    </w:p>
    <w:bookmarkEnd w:id="26"/>
    <w:bookmarkStart w:id="27" w:name="viii.-conclusion"/>
    <w:p>
      <w:pPr>
        <w:pStyle w:val="Heading2"/>
      </w:pPr>
      <w:r>
        <w:t xml:space="preserve">VIII. Conclusion</w:t>
      </w:r>
    </w:p>
    <w:p>
      <w:pPr>
        <w:pStyle w:val="FirstParagraph"/>
      </w:pPr>
      <w:r>
        <w:t xml:space="preserve">In conclusion, this case study demonstrates that engaging a specialized Lawyer in France Paris is not merely a reactive measure but a strategic asset for international corporations. The intricate balance between local compliance and global business objectives requires nuanced legal navigation. By leveraging local expertise, strategic mediation, and deep knowledge of French commercial law, NexTech Solutions successfully mitigated significant risks in the competitive landscape of France Paris.</w:t>
      </w:r>
    </w:p>
    <w:p>
      <w:pPr>
        <w:pStyle w:val="BodyText"/>
      </w:pPr>
      <w:r>
        <w:t xml:space="preserve">This document serves as a testament to the complexity and necessity of high-quality legal representation in one of Europe’s most important economic centers. For any entity looking to operate or defend its interests in France Paris, understanding these dynamics is paramount.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France Paris</dc:title>
  <dc:creator/>
  <dc:language>en</dc:language>
  <cp:keywords/>
  <dcterms:created xsi:type="dcterms:W3CDTF">2026-07-29T09:31:47Z</dcterms:created>
  <dcterms:modified xsi:type="dcterms:W3CDTF">2026-07-29T09:31:47Z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