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Legal</w:t>
      </w:r>
      <w:r>
        <w:t xml:space="preserve"> </w:t>
      </w:r>
      <w:r>
        <w:t xml:space="preserve">Representation</w:t>
      </w:r>
      <w:r>
        <w:t xml:space="preserve"> </w:t>
      </w:r>
      <w:r>
        <w:t xml:space="preserve">for</w:t>
      </w:r>
      <w:r>
        <w:t xml:space="preserve"> </w:t>
      </w:r>
      <w:r>
        <w:t xml:space="preserve">International</w:t>
      </w:r>
      <w:r>
        <w:t xml:space="preserve"> </w:t>
      </w:r>
      <w:r>
        <w:t xml:space="preserve">Business</w:t>
      </w:r>
      <w:r>
        <w:t xml:space="preserve"> </w:t>
      </w:r>
      <w:r>
        <w:t xml:space="preserve">in</w:t>
      </w:r>
      <w:r>
        <w:t xml:space="preserve"> </w:t>
      </w:r>
      <w:r>
        <w:t xml:space="preserve">Germany</w:t>
      </w:r>
      <w:r>
        <w:t xml:space="preserve"> </w:t>
      </w:r>
      <w:r>
        <w:t xml:space="preserve">Berlin</w:t>
      </w:r>
    </w:p>
    <w:bookmarkStart w:id="26" w:name="X3f4448f30ec8a1d82ee636c43ccacde35cde030"/>
    <w:p>
      <w:pPr>
        <w:pStyle w:val="Heading1"/>
      </w:pPr>
      <w:r>
        <w:t xml:space="preserve">Case Study: Strategic Legal Representation for International Business Expansion in Germany Berlin</w:t>
      </w:r>
    </w:p>
    <w:p>
      <w:pPr>
        <w:pStyle w:val="FirstParagraph"/>
      </w:pPr>
      <w:r>
        <w:rPr>
          <w:bCs/>
          <w:b/>
        </w:rPr>
        <w:t xml:space="preserve">Date:</w:t>
      </w:r>
      <w:r>
        <w:t xml:space="preserve"> </w:t>
      </w:r>
      <w:r>
        <w:t xml:space="preserve">October 24, 2023</w:t>
      </w:r>
      <w:r>
        <w:br/>
      </w:r>
      <w:r>
        <w:rPr>
          <w:bCs/>
          <w:b/>
        </w:rPr>
        <w:t xml:space="preserve">Jurisdiction:</w:t>
      </w:r>
      <w:r>
        <w:t xml:space="preserve"> </w:t>
      </w:r>
      <w:r>
        <w:t xml:space="preserve">Germany (Federal Republic)</w:t>
      </w:r>
      <w:r>
        <w:br/>
      </w:r>
      <w:r>
        <w:rPr>
          <w:bCs/>
          <w:b/>
        </w:rPr>
        <w:t xml:space="preserve">Primary Location Focus:</w:t>
      </w:r>
      <w:r>
        <w:t xml:space="preserve"> </w:t>
      </w:r>
      <w:r>
        <w:t xml:space="preserve">Germany Berlin</w:t>
      </w:r>
      <w:r>
        <w:br/>
      </w:r>
      <w:r>
        <w:rPr>
          <w:vertAlign w:val="subscript"/>
        </w:rPr>
        <w:t xml:space="preserve">Ject Type: Corporate Law / Regulatory Compliance</w:t>
      </w:r>
    </w:p>
    <w:p>
      <w:pPr>
        <w:pStyle w:val="BodyText"/>
      </w:pPr>
      <w:r>
        <w:t xml:space="preserve">The purpose of this</w:t>
      </w:r>
      <w:r>
        <w:t xml:space="preserve"> </w:t>
      </w:r>
      <w:r>
        <w:t xml:space="preserve">Lawyer based in</w:t>
      </w:r>
      <w:r>
        <w:t xml:space="preserve"> </w:t>
      </w:r>
      <w:r>
        <w:rPr>
          <w:bCs/>
          <w:b/>
        </w:rPr>
        <w:t xml:space="preserve">Germany Berlin</w:t>
      </w:r>
      <w:r>
        <w:t xml:space="preserve">-navigated intricate regulatory frameworks, labor laws, and commercial regulations to ensure a compliant and successful market entry. The study highlights the critical importance of understanding the specific legal landscape of</w:t>
      </w:r>
      <w:r>
        <w:t xml:space="preserve"> </w:t>
      </w:r>
      <w:r>
        <w:t xml:space="preserve">, distinguishing it from general German federal law.</w:t>
      </w:r>
    </w:p>
    <w:bookmarkStart w:id="20" w:name="client-background"/>
    <w:p>
      <w:pPr>
        <w:pStyle w:val="Heading2"/>
      </w:pPr>
      <w:r>
        <w:t xml:space="preserve">2. Client Background</w:t>
      </w:r>
    </w:p>
    <w:p>
      <w:pPr>
        <w:pStyle w:val="FirstParagraph"/>
      </w:pPr>
      <w:r>
        <w:t xml:space="preserve">TechNova Solutions is a rapidly growing software development company based in Austin, Texas. With a successful product line in the North American market, the company decided to expand its operations into Europe to better serve clients in the DACH region (Germany, Austria, Switzerland). The primary strategic goal was to establish a subsidiary entity in</w:t>
      </w:r>
      <w:r>
        <w:t xml:space="preserve"> </w:t>
      </w:r>
      <w:r>
        <w:rPr>
          <w:bCs/>
          <w:b/>
        </w:rPr>
        <w:t xml:space="preserve">Germany Berlin</w:t>
      </w:r>
      <w:r>
        <w:t xml:space="preserve">, leveraging the city's status as Europe’s leading startup hub and tech center. However, TechNova lacked any prior experience with European corporate structures or German administrative procedures.</w:t>
      </w:r>
    </w:p>
    <w:bookmarkEnd w:id="20"/>
    <w:bookmarkStart w:id="24" w:name="the-challenge"/>
    <w:p>
      <w:pPr>
        <w:pStyle w:val="Heading2"/>
      </w:pPr>
      <w:r>
        <w:t xml:space="preserve">3. The Challenge</w:t>
      </w:r>
    </w:p>
    <w:p>
      <w:pPr>
        <w:pStyle w:val="FirstParagraph"/>
      </w:pPr>
      <w:r>
        <w:t xml:space="preserve">TechNova faced several significant hurdles upon entering the jurisdiction of</w:t>
      </w:r>
      <w:r>
        <w:t xml:space="preserve"> </w:t>
      </w:r>
      <w:r>
        <w:rPr>
          <w:bCs/>
          <w:b/>
        </w:rPr>
        <w:t xml:space="preserve">Germany Berlin</w:t>
      </w:r>
      <w:r>
        <w:t xml:space="preserve">:</w:t>
      </w:r>
    </w:p>
    <w:p>
      <w:pPr>
        <w:numPr>
          <w:ilvl w:val="0"/>
          <w:numId w:val="1001"/>
        </w:numPr>
        <w:pStyle w:val="Compact"/>
      </w:pPr>
      <w:r>
        <w:rPr>
          <w:bCs/>
          <w:b/>
        </w:rPr>
        <w:t xml:space="preserve">Cultural and Legal Distance:</w:t>
      </w:r>
      <w:r>
        <w:t xml:space="preserve">The client was unfamiliar with the civil law system prevalent in Germany, which differs significantly from the common law system in the United States.</w:t>
      </w:r>
    </w:p>
    <w:p>
      <w:pPr>
        <w:numPr>
          <w:ilvl w:val="0"/>
          <w:numId w:val="1001"/>
        </w:numPr>
        <w:pStyle w:val="Compact"/>
      </w:pPr>
      <w:r>
        <w:rPr>
          <w:bCs/>
          <w:b/>
        </w:rPr>
        <w:t xml:space="preserve">Bureaucratic Complexity:</w:t>
      </w:r>
      <w:r>
        <w:t xml:space="preserve">Establishing a legal entity (</w:t>
      </w:r>
      <w:r>
        <w:rPr>
          <w:iCs/>
          <w:i/>
        </w:rPr>
        <w:t xml:space="preserve">GmbH</w:t>
      </w:r>
      <w:r>
        <w:t xml:space="preserve">) in</w:t>
      </w:r>
      <w:r>
        <w:t xml:space="preserve"> </w:t>
      </w:r>
      <w:r>
        <w:t xml:space="preserve"> </w:t>
      </w:r>
      <w:r>
        <w:t xml:space="preserve">required navigating strict capitalization requirements, notary public procedures, and commercial register filings.</w:t>
      </w:r>
    </w:p>
    <w:p>
      <w:pPr>
        <w:numPr>
          <w:ilvl w:val="0"/>
          <w:numId w:val="1001"/>
        </w:numPr>
        <w:pStyle w:val="Compact"/>
      </w:pPr>
      <w:r>
        <w:rPr>
          <w:bCs/>
          <w:b/>
        </w:rPr>
        <w:t xml:space="preserve">Labor Law Rigidity:</w:t>
      </w:r>
      <w:r>
        <w:t xml:space="preserve">The client intended to hire local staff but was unaware of the stringent employee protection laws and works council (*Betriebsrat*) regulations in Germany.</w:t>
      </w:r>
    </w:p>
    <w:p>
      <w:pPr>
        <w:numPr>
          <w:ilvl w:val="0"/>
          <w:numId w:val="1001"/>
        </w:numPr>
        <w:pStyle w:val="Compact"/>
      </w:pPr>
      <w:r>
        <w:rPr>
          <w:bCs/>
          <w:b/>
        </w:rPr>
        <w:t xml:space="preserve">Data Privacy Compliance:</w:t>
      </w:r>
      <w:r>
        <w:t xml:space="preserve">As a tech firm handling user data, compliance with the General Data Protection Regulation (GDPR) was non-negotiable. The client needed assurance that their internal processes met German enforcement standards.</w:t>
      </w:r>
    </w:p>
    <w:p>
      <w:pPr>
        <w:pStyle w:val="FirstParagraph"/>
      </w:pPr>
      <w:r>
        <w:t xml:space="preserve">4. The Role of the Lawyer</w:t>
      </w:r>
    </w:p>
    <w:p>
      <w:pPr>
        <w:pStyle w:val="BodyText"/>
      </w:pPr>
      <w:r>
        <w:t xml:space="preserve">The appointed</w:t>
      </w:r>
    </w:p>
    <w:p>
      <w:pPr>
        <w:pStyle w:val="BodyText"/>
      </w:pPr>
      <w:r>
        <w:t xml:space="preserve">, specializing in commercial law with a deep focus on the Berlin market, conducted a comprehensive due diligence audit. The lawyer identified that forming a standard GmbH (*Gesellschaft mit beschränkter Haftung*) was the optimal structure for liability protection. However, the lawyer advised TechNova to consider an "Umbrella GmbH" setup to streamline future acquisitions within Europe.</w:t>
      </w:r>
    </w:p>
    <w:bookmarkStart w:id="21" w:name="entity-formation-in-germany-berlin"/>
    <w:p>
      <w:pPr>
        <w:pStyle w:val="Heading3"/>
      </w:pPr>
      <w:r>
        <w:t xml:space="preserve">2.2 Entity Formation in Germany Berlin</w:t>
      </w:r>
    </w:p>
    <w:p>
      <w:pPr>
        <w:pStyle w:val="FirstParagraph"/>
      </w:pPr>
      <w:r>
        <w:t xml:space="preserve">The process of incorporating a company in</w:t>
      </w:r>
      <w:r>
        <w:t xml:space="preserve"> </w:t>
      </w:r>
      <w:r>
        <w:rPr>
          <w:bCs/>
          <w:b/>
        </w:rPr>
        <w:t xml:space="preserve">Germany Berlin</w:t>
      </w:r>
    </w:p>
    <w:p>
      <w:pPr>
        <w:numPr>
          <w:ilvl w:val="0"/>
          <w:numId w:val="1002"/>
        </w:numPr>
        <w:pStyle w:val="Compact"/>
      </w:pPr>
      <w:r>
        <w:t xml:space="preserve">Drafting the Articles of Association (</w:t>
      </w:r>
      <w:r>
        <w:rPr>
          <w:iCs/>
          <w:i/>
        </w:rPr>
        <w:t xml:space="preserve">Gesellschaftsvertrag</w:t>
      </w:r>
      <w:r>
        <w:t xml:space="preserve">):</w:t>
      </w:r>
      <w:r>
        <w:t xml:space="preserve">The lawyer customized these documents to include specific shareholder agreements that protected TechNova’s intellectual property rights while complying with German mandatory law.</w:t>
      </w:r>
    </w:p>
    <w:p>
      <w:pPr>
        <w:numPr>
          <w:ilvl w:val="0"/>
          <w:numId w:val="1002"/>
        </w:numPr>
        <w:pStyle w:val="Compact"/>
      </w:pPr>
      <w:r>
        <w:rPr>
          <w:bCs/>
          <w:b/>
        </w:rPr>
        <w:t xml:space="preserve">Notarization:</w:t>
      </w:r>
      <w:r>
        <w:t xml:space="preserve">All shareholders were required to appear before a notary public. The lawyer prepared all necessary translations and explained the legal implications of personal liability in German terms.</w:t>
      </w:r>
    </w:p>
    <w:p>
      <w:pPr>
        <w:numPr>
          <w:ilvl w:val="0"/>
          <w:numId w:val="1002"/>
        </w:numPr>
        <w:pStyle w:val="Compact"/>
      </w:pPr>
    </w:p>
    <w:p>
      <w:pPr>
        <w:numPr>
          <w:ilvl w:val="0"/>
          <w:numId w:val="1000"/>
        </w:numPr>
        <w:pStyle w:val="Compact"/>
      </w:pPr>
      <w:r>
        <w:t xml:space="preserve">The lawyer handled the submission of documents to the local Commercial Register (</w:t>
      </w:r>
      <w:r>
        <w:rPr>
          <w:iCs/>
          <w:i/>
        </w:rPr>
        <w:t xml:space="preserve">Handselsregister</w:t>
      </w:r>
      <w:r>
        <w:t xml:space="preserve">) at the Berlin-Brandenburg Regional Court. This step was critical for granting the company legal personality.</w:t>
      </w:r>
    </w:p>
    <w:bookmarkEnd w:id="21"/>
    <w:bookmarkStart w:id="22" w:name="navigating-labor-and-employment-law"/>
    <w:p>
      <w:pPr>
        <w:pStyle w:val="Heading3"/>
      </w:pPr>
      <w:r>
        <w:t xml:space="preserve">2.3 Navigating Labor and Employment Law</w:t>
      </w:r>
    </w:p>
    <w:p>
      <w:pPr>
        <w:pStyle w:val="FirstParagraph"/>
      </w:pPr>
      <w:r>
        <w:t xml:space="preserve">In</w:t>
      </w:r>
      <w:r>
        <w:t xml:space="preserve"> </w:t>
      </w:r>
      <w:r>
        <w:rPr>
          <w:bCs/>
          <w:b/>
        </w:rPr>
        <w:t xml:space="preserve">Germany Berlin</w:t>
      </w:r>
      <w:r>
        <w:t xml:space="preserve">, labor laws are highly protective of employees. The lawyer drafted employment contracts that complied with the German Civil Code (*Bürgerliches Gesetzbuch* or BGB). Key issues addressed included:</w:t>
      </w:r>
    </w:p>
    <w:p>
      <w:pPr>
        <w:numPr>
          <w:ilvl w:val="0"/>
          <w:numId w:val="1003"/>
        </w:numPr>
        <w:pStyle w:val="Compact"/>
      </w:pPr>
      <w:r>
        <w:t xml:space="preserve">The lawyer advised on the mandatory inclusion of social security contributions, which are shared between employer and employee.</w:t>
      </w:r>
    </w:p>
    <w:p>
      <w:pPr>
        <w:numPr>
          <w:ilvl w:val="0"/>
          <w:numId w:val="1003"/>
        </w:numPr>
        <w:pStyle w:val="Compact"/>
      </w:pPr>
      <w:r>
        <w:rPr>
          <w:bCs/>
          <w:b/>
        </w:rPr>
        <w:t xml:space="preserve">Working Hours and Overtime:</w:t>
      </w:r>
      <w:r>
        <w:t xml:space="preserve">Detailed explanations of the German Working Hours Act (*Arbeitszeitgesetz*) were provided to prevent unintentional violations.</w:t>
      </w:r>
    </w:p>
    <w:p>
      <w:pPr>
        <w:numPr>
          <w:ilvl w:val="0"/>
          <w:numId w:val="1003"/>
        </w:numPr>
        <w:pStyle w:val="Compact"/>
      </w:pPr>
      <w:r>
        <w:t xml:space="preserve">The lawyer prepared a works constitution agreement, anticipating the eventual formation of a works council, which gives employees significant co-determination rights in workplace decisions.</w:t>
      </w:r>
    </w:p>
    <w:bookmarkEnd w:id="22"/>
    <w:bookmarkStart w:id="23" w:name="regulatory-compliance-and-data-privacy"/>
    <w:p>
      <w:pPr>
        <w:pStyle w:val="Heading3"/>
      </w:pPr>
      <w:r>
        <w:t xml:space="preserve">2.4 Regulatory Compliance and Data Privacy</w:t>
      </w:r>
    </w:p>
    <w:p>
      <w:pPr>
        <w:pStyle w:val="FirstParagraph"/>
      </w:pPr>
      <w:r>
        <w:t xml:space="preserve">Data protection is paramount in Germany. The lawyer collaborated with IT security experts to ensure TechNova’s data processing activities complied with the GDPR and the Federal Data Protection Act (</w:t>
      </w:r>
      <w:r>
        <w:rPr>
          <w:iCs/>
          <w:i/>
        </w:rPr>
        <w:t xml:space="preserve">Bundesdatenschutzgesetz</w:t>
      </w:r>
      <w:r>
        <w:t xml:space="preserve">). The lawyer conducted a Gap Analysis, identifying areas where US-based data transfer practices would be illegal under German law. Solutions included implementing Standard Contractual Clauses (SCCs) for cross-border data transfers and appointing a local Data Protection Officer based in</w:t>
      </w:r>
      <w:r>
        <w:t xml:space="preserve"> </w:t>
      </w:r>
      <w:r>
        <w:rPr>
          <w:bCs/>
          <w:b/>
        </w:rPr>
        <w:t xml:space="preserve">Germany Berlin</w:t>
      </w:r>
      <w:r>
        <w:t xml:space="preserve">.</w:t>
      </w:r>
    </w:p>
    <w:bookmarkEnd w:id="23"/>
    <w:bookmarkEnd w:id="24"/>
    <w:bookmarkStart w:id="25" w:name="Xfe72957f05f7e5ab3cda8ff271b8b3aee3d2ed9"/>
    <w:p>
      <w:pPr>
        <w:pStyle w:val="Heading2"/>
      </w:pPr>
      <w:r>
        <w:t xml:space="preserve">5. Outcomes and ResultsThe strategic guidance provided by the</w:t>
      </w:r>
      <w:r>
        <w:t xml:space="preserve"> </w:t>
      </w:r>
    </w:p>
    <w:p>
      <w:pPr>
        <w:numPr>
          <w:ilvl w:val="0"/>
          <w:numId w:val="1004"/>
        </w:numPr>
        <w:pStyle w:val="Compact"/>
      </w:pPr>
      <w:r>
        <w:rPr>
          <w:bCs/>
          <w:b/>
        </w:rPr>
        <w:t xml:space="preserve">Legal Compliance:</w:t>
      </w:r>
      <w:r>
        <w:t xml:space="preserve">The subsidiary was fully compliant with all local regulations from day one, avoiding potential fines that can reach millions of euros in Germany.</w:t>
      </w:r>
    </w:p>
    <w:p>
      <w:pPr>
        <w:numPr>
          <w:ilvl w:val="0"/>
          <w:numId w:val="1004"/>
        </w:numPr>
        <w:pStyle w:val="Compact"/>
      </w:pPr>
      <w:r>
        <w:t xml:space="preserve">The tailored corporate structure allowed for tax efficiency while maintaining full transparency required by German authorities.</w:t>
      </w:r>
    </w:p>
    <w:p>
      <w:pPr>
        <w:numPr>
          <w:ilvl w:val="0"/>
          <w:numId w:val="1004"/>
        </w:numPr>
        <w:pStyle w:val="Compact"/>
      </w:pPr>
      <w:r>
        <w:rPr>
          <w:bCs/>
          <w:b/>
        </w:rPr>
        <w:t xml:space="preserve">Talent Acquisition:</w:t>
      </w:r>
      <w:r>
        <w:t xml:space="preserve">By establishing clear and fair employment contracts aligned with local expectations, TechNova attracted top-tier engineering talent in the competitive Berlin market.</w:t>
      </w:r>
    </w:p>
    <w:p>
      <w:pPr>
        <w:numPr>
          <w:ilvl w:val="0"/>
          <w:numId w:val="1004"/>
        </w:numPr>
        <w:pStyle w:val="Compact"/>
      </w:pPr>
      <w:r>
        <w:t xml:space="preserve">Risk Mitigation:</w:t>
      </w:r>
    </w:p>
    <w:p>
      <w:pPr>
        <w:numPr>
          <w:ilvl w:val="0"/>
          <w:numId w:val="1000"/>
        </w:numPr>
        <w:pStyle w:val="Compact"/>
      </w:pPr>
      <w:r>
        <w:t xml:space="preserve">The proactive approach to data privacy prevented any future regulatory scrutiny from the Berlin Commissioner for Data Protection and Freedom of Information.</w:t>
      </w:r>
    </w:p>
    <w:p>
      <w:pPr>
        <w:pStyle w:val="FirstParagraph"/>
      </w:pPr>
      <w:r>
        <w:t xml:space="preserve">6. Key Takeaways</w:t>
      </w:r>
      <w:r>
        <w:t xml:space="preserve">. A lawyer with specific knowledge of Berlin’s administrative culture and local legal nuances is indispensable.</w:t>
      </w:r>
    </w:p>
    <w:p>
      <w:pPr>
        <w:pStyle w:val="BodyText"/>
      </w:pPr>
      <w:r>
        <w:t xml:space="preserve">Proactive Compliance:In Germany, compliance cannot be an afterthought. It must be integrated into the corporate structure from the inception phase, particularly regarding labor and data privacy.</w:t>
      </w:r>
    </w:p>
    <w:p>
      <w:pPr>
        <w:pStyle w:val="BodyText"/>
      </w:pPr>
      <w:r>
        <w:rPr>
          <w:bCs/>
          <w:b/>
        </w:rPr>
        <w:t xml:space="preserve">Cultural Adaptation:</w:t>
      </w:r>
      <w:r>
        <w:t xml:space="preserve">Understanding that German legal relationships are based on strict contractual certainty and formalism helps foreign entities build trust with local partners and employees.</w:t>
      </w:r>
    </w:p>
    <w:p>
      <w:pPr>
        <w:pStyle w:val="BodyText"/>
      </w:pPr>
      <w:r>
        <w:t xml:space="preserve">7. ConclusionThe successful expansion of TechNova Solutions into the European market serves as a prime example of how professional legal counsel can bridge the gap between international business ambitions and local regulatory realities. For any organization looking to establish a presence in</w:t>
      </w:r>
      <w:r>
        <w:t xml:space="preserve"> </w:t>
      </w:r>
      <w:r>
        <w:rPr>
          <w:bCs/>
          <w:b/>
        </w:rPr>
        <w:t xml:space="preserve">Germany Berlin</w:t>
      </w:r>
      <w:r>
        <w:t xml:space="preserve">, engaging a qualified</w:t>
      </w:r>
    </w:p>
    <w:p>
      <w:pPr>
        <w:pStyle w:val="BodyText"/>
      </w:pPr>
      <w:r>
        <w:t xml:space="preserve"> </w:t>
      </w:r>
      <w:r>
        <w:t xml:space="preserve">is not merely an optional step but a strategic necessity. The complexity of German law, particularly in urban centers like Berlin, requires nuanced expertise that only specialized local counsel can provide.</w:t>
      </w:r>
    </w:p>
    <w:p>
      <w:pPr>
        <w:pStyle w:val="BodyText"/>
      </w:pPr>
      <w:r>
        <w:t xml:space="preserve">This case study underscores the value of precision, cultural sensitivity, and deep regulatory knowledge in cross-border legal transactions. As global business continues to integrate across borders, the role of the</w:t>
      </w:r>
    </w:p>
    <w:p>
      <w:pPr>
        <w:pStyle w:val="BodyText"/>
      </w:pPr>
      <w:r>
        <w:t xml:space="preserve"> </w:t>
      </w:r>
      <w:r>
        <w:t xml:space="preserve">as a strategic partner becomes increasingly vital for sustainable international growth.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Legal Representation for International Business in Germany Berlin</dc:title>
  <dc:creator/>
  <dc:language>en</dc:language>
  <cp:keywords/>
  <dcterms:created xsi:type="dcterms:W3CDTF">2026-07-29T09:08:47Z</dcterms:created>
  <dcterms:modified xsi:type="dcterms:W3CDTF">2026-07-29T09:08:47Z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