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Excellence</w:t>
      </w:r>
      <w:r>
        <w:t xml:space="preserve"> </w:t>
      </w:r>
      <w:r>
        <w:t xml:space="preserve">in</w:t>
      </w:r>
      <w:r>
        <w:t xml:space="preserve"> </w:t>
      </w:r>
      <w:r>
        <w:t xml:space="preserve">Frankfurt</w:t>
      </w:r>
      <w:r>
        <w:t xml:space="preserve"> </w:t>
      </w:r>
      <w:r>
        <w:t xml:space="preserve">am</w:t>
      </w:r>
      <w:r>
        <w:t xml:space="preserve"> </w:t>
      </w:r>
      <w:r>
        <w:t xml:space="preserve">Main</w:t>
      </w:r>
    </w:p>
    <w:bookmarkStart w:id="31" w:name="X421575cbc4fd448232c60d4c5a22c3e57478395"/>
    <w:p>
      <w:pPr>
        <w:pStyle w:val="Heading1"/>
      </w:pPr>
      <w:r>
        <w:t xml:space="preserve">Case Study: Strategic Legal Representation for International Corporate Expansion in Germany Frankfurt</w:t>
      </w:r>
    </w:p>
    <w:p>
      <w:pPr>
        <w:pStyle w:val="FirstParagraph"/>
      </w:pPr>
      <w:r>
        <w:rPr>
          <w:bCs/>
          <w:b/>
        </w:rPr>
        <w:t xml:space="preserve">Date:</w:t>
      </w:r>
      <w:r>
        <w:t xml:space="preserve"> </w:t>
      </w:r>
      <w:r>
        <w:t xml:space="preserve">October 14, 2023</w:t>
      </w:r>
      <w:r>
        <w:br/>
      </w:r>
      <w:r>
        <w:rPr>
          <w:bCs/>
          <w:b/>
        </w:rPr>
        <w:t xml:space="preserve">Jurisdiction:</w:t>
      </w:r>
      <w:r>
        <w:t xml:space="preserve"> </w:t>
      </w:r>
      <w:r>
        <w:t xml:space="preserve">Germany Frankfurt (Hesse)</w:t>
      </w:r>
      <w:r>
        <w:br/>
      </w:r>
      <w:r>
        <w:rPr>
          <w:vertAlign w:val="subscript"/>
        </w:rPr>
        <w:t xml:space="preserve">Judicial District: Landgericht Frankfurt am Main / Oberlandesgericht Frankfurt am Main</w:t>
      </w:r>
      <w:r>
        <w:br/>
      </w:r>
      <w:r>
        <w:rPr>
          <w:bCs/>
          <w:b/>
        </w:rPr>
        <w:t xml:space="preserve">Focus Area:</w:t>
      </w:r>
      <w:r>
        <w:t xml:space="preserve"> </w:t>
      </w:r>
      <w:r>
        <w:t xml:space="preserve">Cross-Border Mergers, Acquisitions, and Regulatory Compliance in the German Financial Sector</w:t>
      </w:r>
    </w:p>
    <w:bookmarkStart w:id="20" w:name="executive-summary"/>
    <w:p>
      <w:pPr>
        <w:pStyle w:val="Heading2"/>
      </w:pPr>
      <w:r>
        <w:t xml:space="preserve">1. Executive Summary</w:t>
      </w:r>
    </w:p>
    <w:p>
      <w:pPr>
        <w:pStyle w:val="FirstParagraph"/>
      </w:pPr>
      <w:r>
        <w:t xml:space="preserve">This comprehensive case study examines a complex legal engagement undertaken by a specialized law firm operating in Germany Frankfurt. The primary objective was to facilitate the successful acquisition of a mid-sized fintech startup by an American private equity firm, navigating the intricate regulatory landscape unique to the German financial sector. As one of Europe’s most critical financial hubs,</w:t>
      </w:r>
      <w:r>
        <w:t xml:space="preserve"> </w:t>
      </w:r>
      <w:r>
        <w:rPr>
          <w:bCs/>
          <w:b/>
        </w:rPr>
        <w:t xml:space="preserve">Germany Frankfurt</w:t>
      </w:r>
      <w:r>
        <w:t xml:space="preserve"> </w:t>
      </w:r>
      <w:r>
        <w:t xml:space="preserve">presents distinct legal challenges that require deep local expertise combined with international strategic vision. This document details how our appointed</w:t>
      </w:r>
      <w:r>
        <w:t xml:space="preserve"> </w:t>
      </w:r>
      <w:r>
        <w:rPr>
          <w:bCs/>
          <w:b/>
        </w:rPr>
        <w:t xml:space="preserve">Lawyer</w:t>
      </w:r>
      <w:r>
        <w:t xml:space="preserve">, utilizing specific knowledge of Hessian and federal German law, resolved significant compliance hurdles to close the deal within a stringent timeframe.</w:t>
      </w:r>
    </w:p>
    <w:bookmarkEnd w:id="20"/>
    <w:bookmarkStart w:id="22" w:name="client-background-and-challenge"/>
    <w:p>
      <w:pPr>
        <w:pStyle w:val="Heading2"/>
      </w:pPr>
      <w:r>
        <w:t xml:space="preserve">2. Client Background and Challenge</w:t>
      </w:r>
    </w:p>
    <w:p>
      <w:pPr>
        <w:pStyle w:val="FirstParagraph"/>
      </w:pPr>
      <w:r>
        <w:t xml:space="preserve">The client, "Apex Global Investments," a prominent US-based investment firm, sought to acquire "FinTech Frankfurt GmbH," a promising software development company specializing in blockchain-based payment solutions. The transaction was valued at approximately €45 million. However, the deal faced immediate and substantial obstacles due to the sensitive nature of financial data regulation in Germany.</w:t>
      </w:r>
    </w:p>
    <w:bookmarkStart w:id="21" w:name="the-core-problem"/>
    <w:p>
      <w:pPr>
        <w:pStyle w:val="Heading3"/>
      </w:pPr>
      <w:r>
        <w:t xml:space="preserve">The Core Problem</w:t>
      </w:r>
    </w:p>
    <w:p>
      <w:pPr>
        <w:pStyle w:val="FirstParagraph"/>
      </w:pPr>
      <w:r>
        <w:t xml:space="preserve">The primary challenge was not merely contractual but regulatory. The target company held licenses issued by BaFin (the Federal Financial Supervisory Authority), which has its central offices closely linked with the Frankfurt financial district. Any change in ownership required rigorous approval processes under the German Banking Act (KWG) and strict adherence to GDPR standards regarding European citizen data. Furthermore, local zoning and commercial regulations in</w:t>
      </w:r>
      <w:r>
        <w:t xml:space="preserve"> </w:t>
      </w:r>
      <w:r>
        <w:rPr>
          <w:bCs/>
          <w:b/>
        </w:rPr>
        <w:t xml:space="preserve">Germany Frankfurt</w:t>
      </w:r>
      <w:r>
        <w:t xml:space="preserve"> </w:t>
      </w:r>
      <w:r>
        <w:t xml:space="preserve">added layers of administrative complexity that foreign investors often underestimate.</w:t>
      </w:r>
    </w:p>
    <w:p>
      <w:pPr>
        <w:pStyle w:val="BodyText"/>
      </w:pPr>
      <w:r>
        <w:t xml:space="preserve">The client’s previous attempts to close the deal had stalled due to a lack of understanding regarding the specific procedural requirements of German corporate law (GmbHG) and the expectations of local judicial authorities. They required a</w:t>
      </w:r>
      <w:r>
        <w:t xml:space="preserve"> </w:t>
      </w:r>
      <w:r>
        <w:rPr>
          <w:bCs/>
          <w:b/>
        </w:rPr>
        <w:t xml:space="preserve">Lawyer</w:t>
      </w:r>
      <w:r>
        <w:t xml:space="preserve"> </w:t>
      </w:r>
      <w:r>
        <w:t xml:space="preserve">who could bridge the gap between American business practices and German legal precision.</w:t>
      </w:r>
    </w:p>
    <w:bookmarkEnd w:id="21"/>
    <w:bookmarkEnd w:id="22"/>
    <w:bookmarkStart w:id="26" w:name="strategic-approach"/>
    <w:p>
      <w:pPr>
        <w:pStyle w:val="Heading2"/>
      </w:pPr>
      <w:r>
        <w:t xml:space="preserve">3. Strategic Approach</w:t>
      </w:r>
    </w:p>
    <w:p>
      <w:pPr>
        <w:pStyle w:val="FirstParagraph"/>
      </w:pPr>
      <w:r>
        <w:t xml:space="preserve">To address these multifaceted challenges, our team deployed a multi-tiered legal strategy tailored specifically for the jurisdiction of</w:t>
      </w:r>
      <w:r>
        <w:t xml:space="preserve"> </w:t>
      </w:r>
      <w:r>
        <w:rPr>
          <w:bCs/>
          <w:b/>
        </w:rPr>
        <w:t xml:space="preserve">Germany Frankfurt</w:t>
      </w:r>
      <w:r>
        <w:t xml:space="preserve">.</w:t>
      </w:r>
    </w:p>
    <w:bookmarkStart w:id="23" w:name="Xe661e7220b5ef6827a36afd4cb65b75219bcd8a"/>
    <w:p>
      <w:pPr>
        <w:pStyle w:val="Heading3"/>
      </w:pPr>
      <w:r>
        <w:t xml:space="preserve">A. Regulatory Navigation and Liaison with BaFin</w:t>
      </w:r>
    </w:p>
    <w:p>
      <w:pPr>
        <w:pStyle w:val="FirstParagraph"/>
      </w:pPr>
      <w:r>
        <w:t xml:space="preserve">The first step involved drafting a comprehensive "Fit and Proper" assessment for the new shareholders. Our lead</w:t>
      </w:r>
      <w:r>
        <w:t xml:space="preserve"> </w:t>
      </w:r>
      <w:r>
        <w:rPr>
          <w:bCs/>
          <w:b/>
        </w:rPr>
        <w:t xml:space="preserve">Lawyer</w:t>
      </w:r>
      <w:r>
        <w:t xml:space="preserve">, who specializes in financial services law, prepared detailed submissions to BaFin. This required not only translating corporate structures but also interpreting them through the lens of German supervisory philosophy, which emphasizes stability and risk mitigation over pure market fluidity. We engaged in pre-filing consultations with regulators in Frankfurt to preemptively address potential objections.</w:t>
      </w:r>
    </w:p>
    <w:bookmarkEnd w:id="23"/>
    <w:bookmarkStart w:id="24" w:name="X8aaa724dfa401c8981a1ce91caac5a24162aa61"/>
    <w:p>
      <w:pPr>
        <w:pStyle w:val="Heading3"/>
      </w:pPr>
      <w:r>
        <w:t xml:space="preserve">B. Corporate Restructuring under German Law</w:t>
      </w:r>
    </w:p>
    <w:p>
      <w:pPr>
        <w:pStyle w:val="FirstParagraph"/>
      </w:pPr>
      <w:r>
        <w:t xml:space="preserve">The acquisition was structured as a share deal rather than an asset deal to preserve the target’s existing licenses. However, this required meticulous review of the GmbH’s articles of association (Gesellschaftsvertrag). Our team identified three dormant clauses that would have blocked the transfer without shareholder amendment. We guided the client through a complex shareholder meeting process, ensuring all notices and voting procedures complied strictly with German statutory requirements to avoid future litigation risks.</w:t>
      </w:r>
    </w:p>
    <w:bookmarkEnd w:id="24"/>
    <w:bookmarkStart w:id="25" w:name="c.-data-privacy-and-gdpr-compliance"/>
    <w:p>
      <w:pPr>
        <w:pStyle w:val="Heading3"/>
      </w:pPr>
      <w:r>
        <w:t xml:space="preserve">C. Data Privacy and GDPR Compliance</w:t>
      </w:r>
    </w:p>
    <w:p>
      <w:pPr>
        <w:pStyle w:val="FirstParagraph"/>
      </w:pPr>
      <w:r>
        <w:t xml:space="preserve">Given Frankfurt’s status as a data hub, data privacy was paramount. We conducted a thorough audit of the target’s data processing activities. Our</w:t>
      </w:r>
      <w:r>
        <w:t xml:space="preserve"> </w:t>
      </w:r>
      <w:r>
        <w:rPr>
          <w:bCs/>
          <w:b/>
        </w:rPr>
        <w:t xml:space="preserve">Lawyer</w:t>
      </w:r>
      <w:r>
        <w:t xml:space="preserve">, in collaboration with IT specialists, ensured that the transfer of user data to servers potentially outside the EU (though restricted) was handled via Standard Contractual Clauses approved by European authorities. This step was critical to obtaining BaFin’s approval.</w:t>
      </w:r>
    </w:p>
    <w:bookmarkEnd w:id="25"/>
    <w:bookmarkEnd w:id="26"/>
    <w:bookmarkStart w:id="27" w:name="implementation-and-execution"/>
    <w:p>
      <w:pPr>
        <w:pStyle w:val="Heading2"/>
      </w:pPr>
      <w:r>
        <w:t xml:space="preserve">4. Implementation and Execution</w:t>
      </w:r>
    </w:p>
    <w:p>
      <w:pPr>
        <w:pStyle w:val="FirstParagraph"/>
      </w:pPr>
      <w:r>
        <w:t xml:space="preserve">The execution phase took place over a period of four months, centered around the legal infrastructure of</w:t>
      </w:r>
      <w:r>
        <w:t xml:space="preserve"> </w:t>
      </w:r>
      <w:r>
        <w:rPr>
          <w:bCs/>
          <w:b/>
        </w:rPr>
        <w:t xml:space="preserve">Germany Frankfurt</w:t>
      </w:r>
      <w:r>
        <w:t xml:space="preserve">. The team maintained weekly on-site meetings at our Frankfurt office, located in the Westend district, allowing for direct access to notaries and court registrars.</w:t>
      </w:r>
    </w:p>
    <w:p>
      <w:pPr>
        <w:numPr>
          <w:ilvl w:val="0"/>
          <w:numId w:val="1001"/>
        </w:numPr>
        <w:pStyle w:val="Compact"/>
      </w:pPr>
      <w:r>
        <w:rPr>
          <w:bCs/>
          <w:b/>
        </w:rPr>
        <w:t xml:space="preserve">Month 1:</w:t>
      </w:r>
      <w:r>
        <w:t xml:space="preserve"> </w:t>
      </w:r>
      <w:r>
        <w:t xml:space="preserve">Due diligence completion and identification of regulatory red flags. Preparation of BaFin application documents.</w:t>
      </w:r>
    </w:p>
    <w:p>
      <w:pPr>
        <w:numPr>
          <w:ilvl w:val="0"/>
          <w:numId w:val="1001"/>
        </w:numPr>
        <w:pStyle w:val="Compact"/>
      </w:pPr>
      <w:r>
        <w:rPr>
          <w:bCs/>
          <w:b/>
        </w:rPr>
        <w:t xml:space="preserve">Month 2:</w:t>
      </w:r>
      <w:r>
        <w:t xml:space="preserve">Negotiation of the Share Purchase Agreement (SPA) with heavy emphasis on German legal terminology to ensure enforceability in local courts.</w:t>
      </w:r>
    </w:p>
    <w:p>
      <w:pPr>
        <w:numPr>
          <w:ilvl w:val="0"/>
          <w:numId w:val="1001"/>
        </w:numPr>
        <w:pStyle w:val="Compact"/>
      </w:pPr>
      <w:r>
        <w:rPr>
          <w:bCs/>
          <w:b/>
        </w:rPr>
        <w:t xml:space="preserve">Month 3:</w:t>
      </w:r>
      <w:r>
        <w:t xml:space="preserve">Royal review. Our lawyer presented the case to BaFin, addressing inquiries regarding capital adequacy and anti-money laundering protocols.</w:t>
      </w:r>
    </w:p>
    <w:p>
      <w:pPr>
        <w:numPr>
          <w:ilvl w:val="0"/>
          <w:numId w:val="1001"/>
        </w:numPr>
        <w:pStyle w:val="Compact"/>
      </w:pPr>
      <w:r>
        <w:rPr>
          <w:bCs/>
          <w:b/>
        </w:rPr>
        <w:t xml:space="preserve">Month 4:</w:t>
      </w:r>
      <w:r>
        <w:t xml:space="preserve">Closing. Notarization of the share transfer before a Frankfurt notary public (a mandatory requirement for GmbH shares in Germany).</w:t>
      </w:r>
    </w:p>
    <w:bookmarkEnd w:id="27"/>
    <w:bookmarkStart w:id="28" w:name="results-and-outcome"/>
    <w:p>
      <w:pPr>
        <w:pStyle w:val="Heading2"/>
      </w:pPr>
      <w:r>
        <w:t xml:space="preserve">5. Results and Outcome</w:t>
      </w:r>
    </w:p>
    <w:p>
      <w:pPr>
        <w:pStyle w:val="FirstParagraph"/>
      </w:pPr>
      <w:r>
        <w:t xml:space="preserve">The transaction was successfully closed on schedule, marking one of the most complex cross-border fintech acquisitions in the region that year. The key outcomes included:</w:t>
      </w:r>
    </w:p>
    <w:p>
      <w:pPr>
        <w:pStyle w:val="BodyText"/>
      </w:pPr>
      <w:r>
        <w:rPr>
          <w:bCs/>
          <w:b/>
        </w:rPr>
        <w:t xml:space="preserve">100% Regulatory Approval</w:t>
      </w:r>
      <w:r>
        <w:br/>
      </w:r>
      <w:r>
        <w:t xml:space="preserve">Secured BaFin consent without significant delays by proactively addressing compliance gaps.</w:t>
      </w:r>
    </w:p>
    <w:p>
      <w:pPr>
        <w:pStyle w:val="BodyText"/>
      </w:pPr>
      <w:r>
        <w:rPr>
          <w:bCs/>
          <w:b/>
        </w:rPr>
        <w:t xml:space="preserve">Risk Mitigation</w:t>
      </w:r>
      <w:r>
        <w:br/>
      </w:r>
      <w:r>
        <w:t xml:space="preserve">Identified and remediated three critical governance issues in the target company’s structure prior to closing.</w:t>
      </w:r>
    </w:p>
    <w:p>
      <w:pPr>
        <w:pStyle w:val="BodyText"/>
      </w:pPr>
      <w:r>
        <w:rPr>
          <w:bCs/>
          <w:b/>
        </w:rPr>
        <w:t xml:space="preserve">Tax Efficiency</w:t>
      </w:r>
      <w:r>
        <w:br/>
      </w:r>
      <w:r>
        <w:t xml:space="preserve">Structured the deal to minimize withholding tax liabilities under German-Federal treaties.</w:t>
      </w:r>
    </w:p>
    <w:p>
      <w:pPr>
        <w:pStyle w:val="BodyText"/>
      </w:pPr>
      <w:r>
        <w:t xml:space="preserve">The client gained full operational control of FinTech Frankfurt GmbH, allowing them to integrate its technology into their global portfolio immediately. Furthermore, the successful navigation of the local legal environment in</w:t>
      </w:r>
      <w:r>
        <w:t xml:space="preserve"> </w:t>
      </w:r>
      <w:r>
        <w:rPr>
          <w:bCs/>
          <w:b/>
        </w:rPr>
        <w:t xml:space="preserve">Germany Frankfurt</w:t>
      </w:r>
      <w:r>
        <w:t xml:space="preserve"> </w:t>
      </w:r>
      <w:r>
        <w:t xml:space="preserve">established a long-term partnership for future investments in the DACH region (Germany, Austria, Switzerland).</w:t>
      </w:r>
    </w:p>
    <w:bookmarkEnd w:id="28"/>
    <w:bookmarkStart w:id="29" w:name="key-takeaways-and-lessons-learned"/>
    <w:p>
      <w:pPr>
        <w:pStyle w:val="Heading2"/>
      </w:pPr>
      <w:r>
        <w:t xml:space="preserve">6. Key Takeaways and Lessons Learned</w:t>
      </w:r>
    </w:p>
    <w:p>
      <w:pPr>
        <w:pStyle w:val="FirstParagraph"/>
      </w:pPr>
      <w:r>
        <w:t xml:space="preserve">This case study highlights several critical lessons for international investors engaging with the legal system in</w:t>
      </w:r>
      <w:r>
        <w:t xml:space="preserve"> </w:t>
      </w:r>
      <w:r>
        <w:rPr>
          <w:bCs/>
          <w:b/>
        </w:rPr>
        <w:t xml:space="preserve">Germany Frankfurt</w:t>
      </w:r>
      <w:r>
        <w:t xml:space="preserve">:</w:t>
      </w:r>
    </w:p>
    <w:p>
      <w:pPr>
        <w:numPr>
          <w:ilvl w:val="0"/>
          <w:numId w:val="1002"/>
        </w:numPr>
        <w:pStyle w:val="Compact"/>
      </w:pPr>
      <w:r>
        <w:rPr>
          <w:bCs/>
          <w:b/>
        </w:rPr>
        <w:t xml:space="preserve">The Importance of Local Specialization:</w:t>
      </w:r>
      <w:r>
        <w:t xml:space="preserve"> </w:t>
      </w:r>
      <w:r>
        <w:t xml:space="preserve">Generalist corporate law is insufficient. A dedicated Lawyer with specific expertise in German financial regulations and local Frankfurt judicial practices is essential for navigating BaFin interactions.</w:t>
      </w:r>
    </w:p>
    <w:p>
      <w:pPr>
        <w:numPr>
          <w:ilvl w:val="0"/>
          <w:numId w:val="1002"/>
        </w:numPr>
        <w:pStyle w:val="Compact"/>
      </w:pPr>
      <w:r>
        <w:rPr>
          <w:bCs/>
          <w:b/>
        </w:rPr>
        <w:t xml:space="preserve">Cultural and Procedural Nuances:</w:t>
      </w:r>
      <w:r>
        <w:t xml:space="preserve"> </w:t>
      </w:r>
      <w:r>
        <w:t xml:space="preserve">German legal culture values precision, thoroughness, and formal compliance. Rushing processes or applying Anglo-American "deal-making" shortcuts can lead to catastrophic delays in Germany Frankfurt.</w:t>
      </w:r>
    </w:p>
    <w:p>
      <w:pPr>
        <w:numPr>
          <w:ilvl w:val="0"/>
          <w:numId w:val="1002"/>
        </w:numPr>
        <w:pStyle w:val="Compact"/>
      </w:pPr>
      <w:r>
        <w:rPr>
          <w:bCs/>
          <w:b/>
        </w:rPr>
        <w:t xml:space="preserve">Early Engagement with Authorities:</w:t>
      </w:r>
      <w:r>
        <w:t xml:space="preserve"> </w:t>
      </w:r>
      <w:r>
        <w:t xml:space="preserve">In highly regulated sectors like finance, proactive dialogue with supervisors (BaFin) is often more effective than reactive problem-solving after rejection.</w:t>
      </w:r>
    </w:p>
    <w:bookmarkEnd w:id="29"/>
    <w:bookmarkStart w:id="30" w:name="conclusion"/>
    <w:p>
      <w:pPr>
        <w:pStyle w:val="Heading2"/>
      </w:pPr>
      <w:r>
        <w:t xml:space="preserve">7. Conclusion</w:t>
      </w:r>
    </w:p>
    <w:p>
      <w:pPr>
        <w:pStyle w:val="FirstParagraph"/>
      </w:pPr>
      <w:r>
        <w:t xml:space="preserve">The success of the Apex Global Investments acquisition underscores the vital role of expert legal counsel in complex international transactions. By leveraging deep local knowledge of the</w:t>
      </w:r>
      <w:r>
        <w:t xml:space="preserve"> </w:t>
      </w:r>
      <w:r>
        <w:rPr>
          <w:bCs/>
          <w:b/>
        </w:rPr>
        <w:t xml:space="preserve">Germany Frankfurt</w:t>
      </w:r>
      <w:r>
        <w:t xml:space="preserve"> </w:t>
      </w:r>
      <w:r>
        <w:t xml:space="preserve">legal landscape, our Lawyer provided not just transactional support but strategic guidance that ensured regulatory compliance and commercial success. For any entity looking to operate or invest in this central European financial hub, partnering with a Lawyer who understands the intricacies of Hessian and Federal German law is not merely an option—it is a necessity for sustainable growth.</w:t>
      </w:r>
    </w:p>
    <w:p>
      <w:pPr>
        <w:pStyle w:val="BodyText"/>
      </w:pPr>
      <w:r>
        <w:rPr>
          <w:bCs/>
          <w:b/>
        </w:rPr>
        <w:t xml:space="preserve">Disclaimer:</w:t>
      </w:r>
      <w:r>
        <w:t xml:space="preserve"> </w:t>
      </w:r>
      <w:r>
        <w:t xml:space="preserve">This document is for informational purposes only and does not constitute legal advice. The names of clients have been changed to protect privacy, although the facts presented are based on real-world scenarios typical in the jurisdiction of Germany Frankfurt. All legal matters should be discussed with a qualified attorney.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Excellence in Frankfurt am Main</dc:title>
  <dc:creator/>
  <dc:language>en</dc:language>
  <cp:keywords/>
  <dcterms:created xsi:type="dcterms:W3CDTF">2026-07-29T04:30:24Z</dcterms:created>
  <dcterms:modified xsi:type="dcterms:W3CDTF">2026-07-29T04:30:24Z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