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Defense</w:t>
      </w:r>
      <w:r>
        <w:t xml:space="preserve"> </w:t>
      </w:r>
      <w:r>
        <w:t xml:space="preserve">in</w:t>
      </w:r>
      <w:r>
        <w:t xml:space="preserve"> </w:t>
      </w:r>
      <w:r>
        <w:t xml:space="preserve">Germany</w:t>
      </w:r>
      <w:r>
        <w:t xml:space="preserve"> </w:t>
      </w:r>
      <w:r>
        <w:t xml:space="preserve">Munich</w:t>
      </w:r>
    </w:p>
    <w:bookmarkStart w:id="31" w:name="X863935b34acdc67f0836d5ab99b1801c7d15ab0"/>
    <w:p>
      <w:pPr>
        <w:pStyle w:val="Heading1"/>
      </w:pPr>
      <w:r>
        <w:t xml:space="preserve">Case Study: Complex Intellectual Property Litigation and Cross-Border Compliance for a Tech Startup in Germany Munich</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Federal Republic of Germany, specifically Munich (Bayern)</w:t>
      </w:r>
      <w:r>
        <w:br/>
      </w:r>
      <w:r>
        <w:rPr>
          <w:bCs/>
          <w:b/>
        </w:rPr>
        <w:t xml:space="preserve">Firm Type:</w:t>
      </w:r>
      <w:r>
        <w:t xml:space="preserve"> </w:t>
      </w:r>
      <w:r>
        <w:t xml:space="preserve">Boutique Intellectual Property and Corporate Law Practice</w:t>
      </w:r>
      <w:r>
        <w:br/>
      </w:r>
      <w:r>
        <w:rPr>
          <w:vertAlign w:val="subscript"/>
        </w:rPr>
        <w:t xml:space="preserve">Note: This Case Study details a representative scenario involving a Lawyer operating within the legal framework of Germany Munich to illustrate strategic litigation management.</w:t>
      </w:r>
    </w:p>
    <w:bookmarkStart w:id="20" w:name="executive-summary"/>
    <w:p>
      <w:pPr>
        <w:pStyle w:val="Heading2"/>
      </w:pPr>
      <w:r>
        <w:t xml:space="preserve">1. Executive Summary</w:t>
      </w:r>
    </w:p>
    <w:p>
      <w:pPr>
        <w:pStyle w:val="FirstParagraph"/>
      </w:pPr>
      <w:r>
        <w:t xml:space="preserve">This Case Study examines a high-stakes intellectual property dispute involving "NexTech Solutions," an innovative software development firm based in the bustling tech hub of Germany Munich. The primary objective was to defend NexTech against allegations of trade secret misappropriation and unfair competition brought forth by a legacy competitor, "LegacyData GmbH." As the designated Lawyer for NexTech, our firm navigated the intricate legal landscape of Germany Munich, leveraging local judicial nuances and federal regulations to secure a favorable settlement. This document outlines the challenges faced, the strategic approach employed by the Lawyer, and the ultimate outcome that protected our client’s market position.</w:t>
      </w:r>
    </w:p>
    <w:bookmarkEnd w:id="20"/>
    <w:bookmarkStart w:id="21" w:name="background-of-client"/>
    <w:p>
      <w:pPr>
        <w:pStyle w:val="Heading2"/>
      </w:pPr>
      <w:r>
        <w:t xml:space="preserve">2. Background of Client</w:t>
      </w:r>
    </w:p>
    <w:p>
      <w:pPr>
        <w:pStyle w:val="FirstParagraph"/>
      </w:pPr>
      <w:r>
        <w:t xml:space="preserve">NexTech Solutions specializes in artificial intelligence-driven data analytics for automotive supply chains. Headquartered in a modern office park near the Munich Olympic Park, NexTech has experienced rapid growth over the last five years. The company is embedded deeply within the ecosystem of Germany Munich, a region known for its strong industrial base and high concentration of engineering firms. Due to this proximity to major automotive manufacturers, NexTech’s proprietary algorithms hold significant commercial value.</w:t>
      </w:r>
    </w:p>
    <w:p>
      <w:pPr>
        <w:pStyle w:val="BodyText"/>
      </w:pPr>
      <w:r>
        <w:t xml:space="preserve">The dispute arose when a former senior engineer left NexTech to join LegacyData GmbH, a direct competitor based in the same region. Shortly after his departure, LegacyData launched a product with striking similarities to NexTech’s core technology. This triggered immediate concerns regarding the potential theft of confidential code and business strategies.</w:t>
      </w:r>
    </w:p>
    <w:bookmarkEnd w:id="21"/>
    <w:bookmarkStart w:id="22" w:name="problem-statement"/>
    <w:p>
      <w:pPr>
        <w:pStyle w:val="Heading2"/>
      </w:pPr>
      <w:r>
        <w:t xml:space="preserve">3. Problem Statement</w:t>
      </w:r>
    </w:p>
    <w:p>
      <w:pPr>
        <w:pStyle w:val="FirstParagraph"/>
      </w:pPr>
      <w:r>
        <w:t xml:space="preserve">NexTech faced an existential threat to its competitive advantage. If the allegations held true in a court of law, they could face substantial damages, injunctions preventing them from selling their products, and irreparable reputational harm. The complexity was heightened by the specific legal environment of Germany Munich. While German federal law provides the overarching framework for intellectual property protection (specifically the Act Against Unfair Competition - UWG), local practices in Munich can vary regarding procedural speed and evidentiary standards.</w:t>
      </w:r>
    </w:p>
    <w:p>
      <w:pPr>
        <w:pStyle w:val="BodyText"/>
      </w:pPr>
      <w:r>
        <w:t xml:space="preserve">The key challenges included:</w:t>
      </w:r>
    </w:p>
    <w:p>
      <w:pPr>
        <w:numPr>
          <w:ilvl w:val="0"/>
          <w:numId w:val="1001"/>
        </w:numPr>
        <w:pStyle w:val="Compact"/>
      </w:pPr>
      <w:r>
        <w:rPr>
          <w:bCs/>
          <w:b/>
        </w:rPr>
        <w:t xml:space="preserve">Jurisdictional Specifics:</w:t>
      </w:r>
      <w:r>
        <w:t xml:space="preserve"> </w:t>
      </w:r>
      <w:r>
        <w:t xml:space="preserve">Determining whether to file in the specialized IP divisions of the Munich Regional Court (Landgericht München I) or seek alternative dispute resolution.</w:t>
      </w:r>
    </w:p>
    <w:p>
      <w:pPr>
        <w:numPr>
          <w:ilvl w:val="0"/>
          <w:numId w:val="1001"/>
        </w:numPr>
        <w:pStyle w:val="Compact"/>
      </w:pPr>
      <w:r>
        <w:rPr>
          <w:bCs/>
          <w:b/>
        </w:rPr>
        <w:t xml:space="preserve">Evidentiary Burden:</w:t>
      </w:r>
      <w:r>
        <w:t xml:space="preserve"> </w:t>
      </w:r>
      <w:r>
        <w:t xml:space="preserve">Proving that specific code segments were copied rather than independently developed, a notoriously difficult task in software cases.</w:t>
      </w:r>
    </w:p>
    <w:p>
      <w:pPr>
        <w:numPr>
          <w:ilvl w:val="0"/>
          <w:numId w:val="1001"/>
        </w:numPr>
        <w:pStyle w:val="Compact"/>
      </w:pPr>
      <w:r>
        <w:rPr>
          <w:bCs/>
          <w:b/>
        </w:rPr>
        <w:t xml:space="preserve">Cross-Border Elements:</w:t>
      </w:r>
      <w:r>
        <w:t xml:space="preserve"> </w:t>
      </w:r>
      <w:r>
        <w:t xml:space="preserve">While the primary parties were local, some data servers were located outside of Germany Munich, complicating the chain of custody for evidence.</w:t>
      </w:r>
    </w:p>
    <w:bookmarkEnd w:id="22"/>
    <w:bookmarkStart w:id="26" w:name="strategic-approach-by-the-lawyer"/>
    <w:p>
      <w:pPr>
        <w:pStyle w:val="Heading2"/>
      </w:pPr>
      <w:r>
        <w:t xml:space="preserve">4. Strategic Approach by the Lawyer</w:t>
      </w:r>
    </w:p>
    <w:p>
      <w:pPr>
        <w:pStyle w:val="FirstParagraph"/>
      </w:pPr>
      <w:r>
        <w:t xml:space="preserve">The appointed Lawyer adopted a multi-faceted strategy designed to leverage the strengths of the German legal system while mitigating risks inherent in Munich’s judicial culture. The approach was built on three pillars: Forensic Precision, Procedural Aggression, and Negotiation Readiness.</w:t>
      </w:r>
    </w:p>
    <w:bookmarkStart w:id="23" w:name="a.-forensic-evidence-collection"/>
    <w:p>
      <w:pPr>
        <w:pStyle w:val="Heading3"/>
      </w:pPr>
      <w:r>
        <w:t xml:space="preserve">A. Forensic Evidence Collection</w:t>
      </w:r>
    </w:p>
    <w:p>
      <w:pPr>
        <w:pStyle w:val="FirstParagraph"/>
      </w:pPr>
      <w:r>
        <w:t xml:space="preserve">The Lawyer immediately engaged independent digital forensics experts to audit NexTech’s internal access logs. This step was crucial for establishing a "clean room" defense, demonstrating that no unauthorized access occurred after the engineer had signed non-disclosure agreements and non-compete clauses. In the context of Germany Munich, where courts place high value on formal documentation, these logs provided an indisputable timeline of events.</w:t>
      </w:r>
    </w:p>
    <w:bookmarkEnd w:id="23"/>
    <w:bookmarkStart w:id="24" w:name="b.-utilizing-local-legal-precedents"/>
    <w:p>
      <w:pPr>
        <w:pStyle w:val="Heading3"/>
      </w:pPr>
      <w:r>
        <w:t xml:space="preserve">B. Utilizing Local Legal Precedents</w:t>
      </w:r>
    </w:p>
    <w:p>
      <w:pPr>
        <w:pStyle w:val="FirstParagraph"/>
      </w:pPr>
      <w:r>
        <w:t xml:space="preserve">Munich is home to some of the most influential IP case law in Europe. The Lawyer conducted extensive research into recent rulings from the Landgericht München I regarding trade secrets under the new EU Trade Secrets Directive implementation in Germany. By citing precedents that favored robust protection for proprietary algorithms, the Lawyer crafted a complaint that was not only legally sound but also rhetorically aligned with how Munich judges typically interpret corporate espionage cases.</w:t>
      </w:r>
    </w:p>
    <w:bookmarkEnd w:id="24"/>
    <w:bookmarkStart w:id="25" w:name="c.-the-preliminary-injunction-motion"/>
    <w:p>
      <w:pPr>
        <w:pStyle w:val="Heading3"/>
      </w:pPr>
      <w:r>
        <w:t xml:space="preserve">C. The Preliminary Injunction Motion</w:t>
      </w:r>
    </w:p>
    <w:p>
      <w:pPr>
        <w:pStyle w:val="FirstParagraph"/>
      </w:pPr>
      <w:r>
        <w:t xml:space="preserve">Rather than waiting for a full trial, which in Germany can take several years, the Lawyer filed for an urgent preliminary injunction (einstweilige Verfügung). This is a powerful tool in German civil procedure. The argument was that NexTech would suffer irreparable harm if LegacyData continued to market the infringing product during the litigation period. The Lawyer prepared a comprehensive dossier highlighting the direct correlation between the ex-employee’s access rights and LegacyData’s subsequent product launch.</w:t>
      </w:r>
    </w:p>
    <w:bookmarkEnd w:id="25"/>
    <w:bookmarkEnd w:id="26"/>
    <w:bookmarkStart w:id="27" w:name="execution-and-obstacles"/>
    <w:p>
      <w:pPr>
        <w:pStyle w:val="Heading2"/>
      </w:pPr>
      <w:r>
        <w:t xml:space="preserve">5. Execution and Obstacles</w:t>
      </w:r>
    </w:p>
    <w:p>
      <w:pPr>
        <w:pStyle w:val="FirstParagraph"/>
      </w:pPr>
      <w:r>
        <w:t xml:space="preserve">The execution phase tested our strategic foresight. LegacyData countered by claiming that their code was developed independently using open-source libraries available to the public. This is a common defense strategy in Germany Munich tech disputes.</w:t>
      </w:r>
    </w:p>
    <w:p>
      <w:pPr>
        <w:pStyle w:val="BodyText"/>
      </w:pPr>
      <w:r>
        <w:t xml:space="preserve">To counter this, the Lawyer requested an expert technical comparison (Gutachten) from a neutral court-appointed expert. However, due to the backlog of experts in Munich at that time, there was a delay risk. The Lawyer proactively submitted their own independent expert report earlier than required by standard procedure to preemptively challenge LegacyData’s claims. This aggressive procedural move forced LegacyData’s legal team into a reactive position.</w:t>
      </w:r>
    </w:p>
    <w:p>
      <w:pPr>
        <w:pStyle w:val="BodyText"/>
      </w:pPr>
      <w:r>
        <w:t xml:space="preserve">Furthermore, the Lawyer navigated cultural nuances in negotiations. In Germany Munich, business relationships are often built on trust and long-term stability rather than adversarial confrontation alone. The Lawyer emphasized that a prolonged battle would hurt both parties’ standing in the tight-knit Bavarian tech community, subtly hinting at reputational risks beyond legal penalties.</w:t>
      </w:r>
    </w:p>
    <w:bookmarkEnd w:id="27"/>
    <w:bookmarkStart w:id="28" w:name="outcome"/>
    <w:p>
      <w:pPr>
        <w:pStyle w:val="Heading2"/>
      </w:pPr>
      <w:r>
        <w:t xml:space="preserve">6. Outcome</w:t>
      </w:r>
    </w:p>
    <w:p>
      <w:pPr>
        <w:pStyle w:val="FirstParagraph"/>
      </w:pPr>
      <w:r>
        <w:t xml:space="preserve">The case was resolved through a settlement agreement reached one month before the scheduled oral hearing on the preliminary injunction. The terms included:</w:t>
      </w:r>
    </w:p>
    <w:p>
      <w:pPr>
        <w:numPr>
          <w:ilvl w:val="0"/>
          <w:numId w:val="1002"/>
        </w:numPr>
        <w:pStyle w:val="Compact"/>
      </w:pPr>
      <w:r>
        <w:rPr>
          <w:bCs/>
          <w:b/>
        </w:rPr>
        <w:t xml:space="preserve">Cease and Desist:</w:t>
      </w:r>
      <w:r>
        <w:t xml:space="preserve"> </w:t>
      </w:r>
      <w:r>
        <w:t xml:space="preserve">LegacyData agreed to immediately cease marketing the infringing product.</w:t>
      </w:r>
    </w:p>
    <w:p>
      <w:pPr>
        <w:numPr>
          <w:ilvl w:val="0"/>
          <w:numId w:val="1002"/>
        </w:numPr>
        <w:pStyle w:val="Compact"/>
      </w:pPr>
      <w:r>
        <w:rPr>
          <w:bCs/>
          <w:b/>
        </w:rPr>
        <w:t xml:space="preserve">Destruction of Materials:</w:t>
      </w:r>
      <w:r>
        <w:t xml:space="preserve"> </w:t>
      </w:r>
      <w:r>
        <w:t xml:space="preserve">All copies of NexTech’s source code held by LegacyData were destroyed, verified by a notary public in Munich.</w:t>
      </w:r>
    </w:p>
    <w:p>
      <w:pPr>
        <w:numPr>
          <w:ilvl w:val="0"/>
          <w:numId w:val="1002"/>
        </w:numPr>
        <w:pStyle w:val="Compact"/>
      </w:pPr>
      <w:r>
        <w:rPr>
          <w:bCs/>
          <w:b/>
        </w:rPr>
        <w:t xml:space="preserve">Financial Compensation:</w:t>
      </w:r>
      <w:r>
        <w:t xml:space="preserve"> </w:t>
      </w:r>
      <w:r>
        <w:t xml:space="preserve">LegacyData paid a substantial settlement fee to cover legal costs and lost licensing revenue.</w:t>
      </w:r>
    </w:p>
    <w:p>
      <w:pPr>
        <w:numPr>
          <w:ilvl w:val="0"/>
          <w:numId w:val="1002"/>
        </w:numPr>
        <w:pStyle w:val="Compact"/>
      </w:pPr>
      <w:r>
        <w:rPr>
          <w:bCs/>
          <w:b/>
        </w:rPr>
        <w:t xml:space="preserve">Ongoing Monitoring:</w:t>
      </w:r>
      <w:r>
        <w:t xml:space="preserve"> </w:t>
      </w:r>
      <w:r>
        <w:t xml:space="preserve">A three-year monitoring clause was inserted, allowing NexTech to audit LegacyData’s development practices if they release similar software in the future.</w:t>
      </w:r>
    </w:p>
    <w:p>
      <w:pPr>
        <w:pStyle w:val="FirstParagraph"/>
      </w:pPr>
      <w:r>
        <w:t xml:space="preserve">This outcome was widely regarded as a victory for the Lawyer and NexTech. It preserved NexTech’s market exclusivity and sent a strong deterrent signal to other potential infringers in the Germany Munich region.</w:t>
      </w:r>
    </w:p>
    <w:bookmarkEnd w:id="28"/>
    <w:bookmarkStart w:id="29" w:name="key-takeaways"/>
    <w:p>
      <w:pPr>
        <w:pStyle w:val="Heading2"/>
      </w:pPr>
      <w:r>
        <w:t xml:space="preserve">7. Key Takeaways</w:t>
      </w:r>
    </w:p>
    <w:p>
      <w:pPr>
        <w:pStyle w:val="FirstParagraph"/>
      </w:pPr>
      <w:r>
        <w:t xml:space="preserve">This Case Study highlights several critical lessons for businesses operating as a Lawyer’s client in Germany Munich:</w:t>
      </w:r>
    </w:p>
    <w:p>
      <w:pPr>
        <w:numPr>
          <w:ilvl w:val="0"/>
          <w:numId w:val="1003"/>
        </w:numPr>
        <w:pStyle w:val="Compact"/>
      </w:pPr>
      <w:r>
        <w:rPr>
          <w:bCs/>
          <w:b/>
        </w:rPr>
        <w:t xml:space="preserve">Leverage Local Expertise:</w:t>
      </w:r>
      <w:r>
        <w:t xml:space="preserve"> </w:t>
      </w:r>
      <w:r>
        <w:t xml:space="preserve">Understanding the specific judicial tendencies of Munich courts is as important as understanding federal law.</w:t>
      </w:r>
    </w:p>
    <w:p>
      <w:pPr>
        <w:numPr>
          <w:ilvl w:val="0"/>
          <w:numId w:val="1003"/>
        </w:numPr>
        <w:pStyle w:val="Compact"/>
      </w:pPr>
      <w:r>
        <w:rPr>
          <w:bCs/>
          <w:b/>
        </w:rPr>
        <w:t xml:space="preserve">Digital Forensics are Paramount:</w:t>
      </w:r>
      <w:r>
        <w:t xml:space="preserve"> </w:t>
      </w:r>
      <w:r>
        <w:t xml:space="preserve">In IP cases, technical evidence often outweighs witness testimony. Early preservation of data is non-negotiable.</w:t>
      </w:r>
    </w:p>
    <w:p>
      <w:pPr>
        <w:numPr>
          <w:ilvl w:val="0"/>
          <w:numId w:val="1003"/>
        </w:numPr>
        <w:pStyle w:val="Compact"/>
      </w:pPr>
      <w:r>
        <w:rPr>
          <w:bCs/>
          <w:b/>
        </w:rPr>
        <w:t xml:space="preserve">Procedural Speed Matters:</w:t>
      </w:r>
      <w:r>
        <w:t xml:space="preserve"> </w:t>
      </w:r>
      <w:r>
        <w:t xml:space="preserve">Utilizing mechanisms like the preliminary injunction can resolve cases faster than a full trial, which is vital in the fast-moving tech sector.</w:t>
      </w:r>
    </w:p>
    <w:p>
      <w:pPr>
        <w:numPr>
          <w:ilvl w:val="0"/>
          <w:numId w:val="1003"/>
        </w:numPr>
        <w:pStyle w:val="Compact"/>
      </w:pPr>
      <w:r>
        <w:rPr>
          <w:bCs/>
          <w:b/>
        </w:rPr>
        <w:t xml:space="preserve">Nuanced Negotiation:</w:t>
      </w:r>
      <w:r>
        <w:t xml:space="preserve"> </w:t>
      </w:r>
      <w:r>
        <w:t xml:space="preserve">The Lawyer must balance legal aggression with the cultural expectation of professional conduct prevalent in Germany Munich’s business elite.</w:t>
      </w:r>
    </w:p>
    <w:bookmarkEnd w:id="29"/>
    <w:bookmarkStart w:id="30" w:name="conclusion"/>
    <w:p>
      <w:pPr>
        <w:pStyle w:val="Heading2"/>
      </w:pPr>
      <w:r>
        <w:t xml:space="preserve">8. Conclusion</w:t>
      </w:r>
    </w:p>
    <w:p>
      <w:pPr>
        <w:pStyle w:val="FirstParagraph"/>
      </w:pPr>
      <w:r>
        <w:t xml:space="preserve">The success in this matter underscores the importance of having a highly specialized Lawyer who understands not just the law, but the specific ecosystem of Germany Munich. For NexTech Solutions, this was more than a legal victory; it was an affirmation of their innovation and security. As tech competition intensifies in Bavaria, firms must anticipate such disputes and engage legal counsel that is adept at navigating both the technical complexities of code and the procedural intricacies of German litigation.</w:t>
      </w:r>
    </w:p>
    <w:p>
      <w:pPr>
        <w:pStyle w:val="BodyText"/>
      </w:pPr>
      <w:r>
        <w:t xml:space="preserve">This Case Study serves as a blueprint for how strategic legal defense, grounded in local knowledge and forensic rigor, can protect intellectual property rights effectively. It demonstrates that when working with a Lawyer in Germany Munich, clients are best served by partners who combine aggressive advocacy with deep cultural and judicial insight.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Defense in Germany Munich</dc:title>
  <dc:creator/>
  <dc:language>en</dc:language>
  <cp:keywords/>
  <dcterms:created xsi:type="dcterms:W3CDTF">2026-07-29T08:26:36Z</dcterms:created>
  <dcterms:modified xsi:type="dcterms:W3CDTF">2026-07-29T08:26:36Z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