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5dbe593fd5b47a663e998b1dddffd9b7501812c"/>
    <w:p>
      <w:pPr>
        <w:pStyle w:val="Heading1"/>
      </w:pPr>
      <w:r>
        <w:t xml:space="preserve">Case Study: Navigating Complex Commercial Litigation for a Tech Startup in India Bangalore</w:t>
      </w:r>
    </w:p>
    <w:p>
      <w:pPr>
        <w:pStyle w:val="FirstParagraph"/>
      </w:pPr>
      <w:r>
        <w:rPr>
          <w:bCs/>
          <w:b/>
        </w:rPr>
        <w:t xml:space="preserve">Date:</w:t>
      </w:r>
      <w:r>
        <w:t xml:space="preserve"> </w:t>
      </w:r>
      <w:r>
        <w:t xml:space="preserve">October 2023</w:t>
      </w:r>
      <w:r>
        <w:br/>
      </w:r>
      <w:r>
        <w:rPr>
          <w:bCs/>
          <w:b/>
        </w:rPr>
        <w:t xml:space="preserve">Firm Name:</w:t>
      </w:r>
      <w:r>
        <w:t xml:space="preserve"> </w:t>
      </w:r>
      <w:r>
        <w:t xml:space="preserve">Apex Juris Legal Associates</w:t>
      </w:r>
      <w:r>
        <w:br/>
      </w:r>
      <w:r>
        <w:rPr>
          <w:bCs/>
          <w:b/>
        </w:rPr>
        <w:t xml:space="preserve">Jurisdiction:</w:t>
      </w:r>
      <w:r>
        <w:t xml:space="preserve"> </w:t>
      </w:r>
      <w:r>
        <w:t xml:space="preserve">High Court of Karnataka, India Bangalore</w:t>
      </w:r>
    </w:p>
    <w:bookmarkEnd w:id="20"/>
    <w:bookmarkStart w:id="21" w:name="i.-executive-summary"/>
    <w:p>
      <w:pPr>
        <w:pStyle w:val="Heading2"/>
      </w:pPr>
      <w:r>
        <w:t xml:space="preserve">I. Executive Summary</w:t>
      </w:r>
    </w:p>
    <w:p>
      <w:pPr>
        <w:pStyle w:val="FirstParagraph"/>
      </w:pPr>
      <w:r>
        <w:t xml:space="preserve">This document serves as a comprehensive case study analyzing the successful representation of a mid-sized technology startup against a major multinational corporation. The central theme of this case study is the critical role that specialized legal expertise plays in protecting intellectual property and contractual integrity within the dynamic business ecosystem of</w:t>
      </w:r>
      <w:r>
        <w:t xml:space="preserve"> </w:t>
      </w:r>
      <w:r>
        <w:rPr>
          <w:bCs/>
          <w:b/>
        </w:rPr>
        <w:t xml:space="preserve">India Bangalore</w:t>
      </w:r>
      <w:r>
        <w:t xml:space="preserve">. It highlights how local knowledge combined with international standards allows a skilled lawyer to navigate the unique judicial landscape of</w:t>
      </w:r>
      <w:r>
        <w:t xml:space="preserve"> </w:t>
      </w:r>
      <w:r>
        <w:rPr>
          <w:bCs/>
          <w:b/>
        </w:rPr>
        <w:t xml:space="preserve">India Bangalore</w:t>
      </w:r>
      <w:r>
        <w:t xml:space="preserve">, ensuring fair outcomes for emerging businesses.</w:t>
      </w:r>
    </w:p>
    <w:bookmarkEnd w:id="21"/>
    <w:bookmarkStart w:id="22" w:name="ii.-client-profile-and-background"/>
    <w:p>
      <w:pPr>
        <w:pStyle w:val="Heading2"/>
      </w:pPr>
      <w:r>
        <w:t xml:space="preserve">II. Client Profile and Background</w:t>
      </w:r>
    </w:p>
    <w:p>
      <w:pPr>
        <w:pStyle w:val="FirstParagraph"/>
      </w:pPr>
      <w:r>
        <w:t xml:space="preserve">The client, "TechNova Solutions," is a rapidly growing software development firm headquartered in the heart of the tech hub in</w:t>
      </w:r>
      <w:r>
        <w:t xml:space="preserve"> </w:t>
      </w:r>
      <w:r>
        <w:rPr>
          <w:bCs/>
          <w:b/>
        </w:rPr>
        <w:t xml:space="preserve">India Bangalore</w:t>
      </w:r>
      <w:r>
        <w:t xml:space="preserve">. Established five years prior, TechNova had developed a proprietary algorithm for supply chain optimization. The company was preparing for a Series B funding round when they discovered that their former chief technology officer (CTO), who had recently joined a competitor based in Silicon Valley but operating under an Indian subsidiary, was using misappropriated code and confidential trade secrets.</w:t>
      </w:r>
    </w:p>
    <w:p>
      <w:pPr>
        <w:pStyle w:val="BodyText"/>
      </w:pPr>
      <w:r>
        <w:t xml:space="preserve">TechNova’s board sought immediate legal intervention. The complexity of the situation required a lawyer who understood not only the Information Technology Act of 2000 and the Copyright Act, but also the specific procedural nuances of filing emergency injunctions in courts across</w:t>
      </w:r>
      <w:r>
        <w:t xml:space="preserve"> </w:t>
      </w:r>
      <w:r>
        <w:rPr>
          <w:bCs/>
          <w:b/>
        </w:rPr>
        <w:t xml:space="preserve">India Bangalore</w:t>
      </w:r>
      <w:r>
        <w:t xml:space="preserve">. The stakes were high: without swift action, their competitive edge would be lost before they could secure funding.</w:t>
      </w:r>
    </w:p>
    <w:bookmarkEnd w:id="22"/>
    <w:bookmarkStart w:id="23" w:name="iii.-legal-challenges-in-india-bangalore"/>
    <w:p>
      <w:pPr>
        <w:pStyle w:val="Heading2"/>
      </w:pPr>
      <w:r>
        <w:t xml:space="preserve">III. Legal Challenges in India Bangalore</w:t>
      </w:r>
    </w:p>
    <w:p>
      <w:pPr>
        <w:pStyle w:val="FirstParagraph"/>
      </w:pPr>
      <w:r>
        <w:t xml:space="preserve">The legal landscape in</w:t>
      </w:r>
      <w:r>
        <w:t xml:space="preserve"> </w:t>
      </w:r>
      <w:r>
        <w:rPr>
          <w:bCs/>
          <w:b/>
        </w:rPr>
        <w:t xml:space="preserve">India Bangalore</w:t>
      </w:r>
      <w:r>
        <w:t xml:space="preserve">, while modernizing rapidly, presents distinct challenges for startups. The High Court of Karnataka and the district courts often face massive backlogs, making time-sensitive relief difficult to obtain. Furthermore, the enforcement of non-compete clauses in India is legally complex; Section 27 of the Indian Contract Act traditionally renders post-employment restrictive covenants void. Therefore, a lawyer had to craft a strategy that avoided relying on unenforceable non-compete agreements and instead focused on breach of confidentiality and intellectual property theft.</w:t>
      </w:r>
    </w:p>
    <w:p>
      <w:pPr>
        <w:pStyle w:val="BodyText"/>
      </w:pPr>
      <w:r>
        <w:t xml:space="preserve">Additionally, jurisdictional issues arose because the alleged infringement occurred digitally across borders, but the physical assets and witnesses were located in</w:t>
      </w:r>
      <w:r>
        <w:t xml:space="preserve"> </w:t>
      </w:r>
      <w:r>
        <w:rPr>
          <w:bCs/>
          <w:b/>
        </w:rPr>
        <w:t xml:space="preserve">India Bangalore</w:t>
      </w:r>
      <w:r>
        <w:t xml:space="preserve">. The opposing counsel attempted to delay proceedings by challenging the jurisdiction of the local courts. This required a lawyer with deep experience in inter-state and international digital disputes.</w:t>
      </w:r>
    </w:p>
    <w:bookmarkEnd w:id="23"/>
    <w:bookmarkStart w:id="24" w:name="iv.-strategy-and-execution-by-lawyer"/>
    <w:p>
      <w:pPr>
        <w:pStyle w:val="Heading2"/>
      </w:pPr>
      <w:r>
        <w:t xml:space="preserve">IV. Strategy and Execution by Lawyer</w:t>
      </w:r>
    </w:p>
    <w:p>
      <w:pPr>
        <w:pStyle w:val="FirstParagraph"/>
      </w:pPr>
      <w:r>
        <w:t xml:space="preserve">The assigned lawyer at Apex Juris Legal Associates adopted a multi-pronged strategy tailored specifically to the environment in</w:t>
      </w:r>
      <w:r>
        <w:t xml:space="preserve"> </w:t>
      </w:r>
      <w:r>
        <w:rPr>
          <w:bCs/>
          <w:b/>
        </w:rPr>
        <w:t xml:space="preserve">India Bangalore</w:t>
      </w:r>
      <w:r>
        <w:t xml:space="preserve">:</w:t>
      </w:r>
    </w:p>
    <w:p>
      <w:pPr>
        <w:numPr>
          <w:ilvl w:val="0"/>
          <w:numId w:val="1001"/>
        </w:numPr>
        <w:pStyle w:val="Compact"/>
      </w:pPr>
      <w:r>
        <w:rPr>
          <w:bCs/>
          <w:b/>
        </w:rPr>
        <w:t xml:space="preserve">Rapid Evidence Preservation:</w:t>
      </w:r>
      <w:r>
        <w:t xml:space="preserve"> </w:t>
      </w:r>
      <w:r>
        <w:t xml:space="preserve">The lawyer immediately filed for preservation orders with local digital forensic experts to secure logs and code repositories stored on servers within</w:t>
      </w:r>
      <w:r>
        <w:t xml:space="preserve"> </w:t>
      </w:r>
      <w:r>
        <w:rPr>
          <w:bCs/>
          <w:b/>
        </w:rPr>
        <w:t xml:space="preserve">India Bangalore</w:t>
      </w:r>
      <w:r>
        <w:t xml:space="preserve">. This step was crucial to prevent the destruction of evidence.</w:t>
      </w:r>
    </w:p>
    <w:p>
      <w:pPr>
        <w:numPr>
          <w:ilvl w:val="0"/>
          <w:numId w:val="1001"/>
        </w:numPr>
        <w:pStyle w:val="Compact"/>
      </w:pPr>
      <w:r>
        <w:rPr>
          <w:bCs/>
          <w:b/>
        </w:rPr>
        <w:t xml:space="preserve">Leveraging Precedents:</w:t>
      </w:r>
      <w:r>
        <w:t xml:space="preserve"> </w:t>
      </w:r>
      <w:r>
        <w:t xml:space="preserve">Citing recent precedents from the Supreme Court of India regarding trade secrets, the lawyer drafted a petition that framed the case not just as employment dispute, but as commercial espionage violating fiduciary duties.</w:t>
      </w:r>
    </w:p>
    <w:p>
      <w:pPr>
        <w:numPr>
          <w:ilvl w:val="0"/>
          <w:numId w:val="1001"/>
        </w:numPr>
        <w:pStyle w:val="Compact"/>
      </w:pPr>
      <w:r>
        <w:rPr>
          <w:bCs/>
          <w:b/>
        </w:rPr>
        <w:t xml:space="preserve">Navigating Local Courts:</w:t>
      </w:r>
      <w:r>
        <w:t xml:space="preserve"> </w:t>
      </w:r>
      <w:r>
        <w:t xml:space="preserve">Understanding the specific docketing procedures of the Karnataka High Court in</w:t>
      </w:r>
      <w:r>
        <w:t xml:space="preserve"> </w:t>
      </w:r>
      <w:r>
        <w:rPr>
          <w:bCs/>
          <w:b/>
        </w:rPr>
        <w:t xml:space="preserve">India Bangalore</w:t>
      </w:r>
      <w:r>
        <w:t xml:space="preserve">, the lawyer coordinated closely with court registrars to ensure that emergency applications for temporary injunctions were heard on an expedited basis. This local operational knowledge was a decisive factor.</w:t>
      </w:r>
    </w:p>
    <w:p>
      <w:pPr>
        <w:numPr>
          <w:ilvl w:val="0"/>
          <w:numId w:val="1001"/>
        </w:numPr>
        <w:pStyle w:val="Compact"/>
      </w:pPr>
      <w:r>
        <w:rPr>
          <w:bCs/>
          <w:b/>
        </w:rPr>
        <w:t xml:space="preserve">Multijurisdictional Coordination:</w:t>
      </w:r>
      <w:r>
        <w:t xml:space="preserve"> </w:t>
      </w:r>
      <w:r>
        <w:t xml:space="preserve">While the primary case was in</w:t>
      </w:r>
      <w:r>
        <w:t xml:space="preserve"> </w:t>
      </w:r>
      <w:r>
        <w:rPr>
          <w:bCs/>
          <w:b/>
        </w:rPr>
        <w:t xml:space="preserve">India Bangalore</w:t>
      </w:r>
      <w:r>
        <w:t xml:space="preserve">, the lawyer coordinated with international counsel to freeze assets held by the competitor’s Indian subsidiary, ensuring that any potential judgment could be satisfied.</w:t>
      </w:r>
    </w:p>
    <w:bookmarkEnd w:id="24"/>
    <w:bookmarkStart w:id="25" w:name="v.-outcomes-and-results"/>
    <w:p>
      <w:pPr>
        <w:pStyle w:val="Heading2"/>
      </w:pPr>
      <w:r>
        <w:t xml:space="preserve">V. Outcomes and Results</w:t>
      </w:r>
    </w:p>
    <w:p>
      <w:pPr>
        <w:pStyle w:val="FirstParagraph"/>
      </w:pPr>
      <w:r>
        <w:t xml:space="preserve">The results of this case study demonstrate the efficacy of localized legal expertise:</w:t>
      </w:r>
    </w:p>
    <w:p>
      <w:pPr>
        <w:numPr>
          <w:ilvl w:val="0"/>
          <w:numId w:val="1002"/>
        </w:numPr>
        <w:pStyle w:val="Compact"/>
      </w:pPr>
      <w:r>
        <w:rPr>
          <w:bCs/>
          <w:b/>
        </w:rPr>
        <w:t xml:space="preserve">Injunction Granted:</w:t>
      </w:r>
      <w:r>
        <w:t xml:space="preserve"> </w:t>
      </w:r>
      <w:r>
        <w:t xml:space="preserve">Within three weeks, a single-judge bench in the High Court of Karnataka (based in</w:t>
      </w:r>
      <w:r>
        <w:t xml:space="preserve"> </w:t>
      </w:r>
      <w:r>
        <w:rPr>
          <w:bCs/>
          <w:b/>
        </w:rPr>
        <w:t xml:space="preserve">India Bangalore</w:t>
      </w:r>
      <w:r>
        <w:t xml:space="preserve">) granted an interim injunction. This prevented the competitor from using the disputed code or hiring key members of TechNova’s team for a period critical to TechNova’s funding round.</w:t>
      </w:r>
    </w:p>
    <w:p>
      <w:pPr>
        <w:numPr>
          <w:ilvl w:val="0"/>
          <w:numId w:val="1002"/>
        </w:numPr>
        <w:pStyle w:val="Compact"/>
      </w:pPr>
      <w:r>
        <w:rPr>
          <w:bCs/>
          <w:b/>
        </w:rPr>
        <w:t xml:space="preserve">Settlement Reached:</w:t>
      </w:r>
      <w:r>
        <w:t xml:space="preserve"> </w:t>
      </w:r>
      <w:r>
        <w:t xml:space="preserve">Faced with strong evidence preserved through early intervention and the threat of a full trial that would expose their internal processes, the opposing party agreed to settle. The settlement included a significant monetary compensation and the return of all proprietary data.</w:t>
      </w:r>
    </w:p>
    <w:p>
      <w:pPr>
        <w:numPr>
          <w:ilvl w:val="0"/>
          <w:numId w:val="1002"/>
        </w:numPr>
        <w:pStyle w:val="Compact"/>
      </w:pPr>
      <w:r>
        <w:rPr>
          <w:bCs/>
          <w:b/>
        </w:rPr>
        <w:t xml:space="preserve">Bid Protection:</w:t>
      </w:r>
      <w:r>
        <w:t xml:space="preserve"> </w:t>
      </w:r>
      <w:r>
        <w:t xml:space="preserve">The legal victory provided TechNova with the confidence required by investors. They successfully closed their Series B funding round two months later, valuing their company significantly higher due to the secured IP portfolio.</w:t>
      </w:r>
    </w:p>
    <w:bookmarkEnd w:id="25"/>
    <w:bookmarkStart w:id="26" w:name="vi.-analysis-of-key-success-factors"/>
    <w:p>
      <w:pPr>
        <w:pStyle w:val="Heading2"/>
      </w:pPr>
      <w:r>
        <w:t xml:space="preserve">VI. Analysis of Key Success Factors</w:t>
      </w:r>
    </w:p>
    <w:p>
      <w:pPr>
        <w:pStyle w:val="FirstParagraph"/>
      </w:pPr>
      <w:r>
        <w:t xml:space="preserve">This case study underscores several vital lessons for businesses operating in</w:t>
      </w:r>
      <w:r>
        <w:t xml:space="preserve"> </w:t>
      </w:r>
      <w:r>
        <w:rPr>
          <w:bCs/>
          <w:b/>
        </w:rPr>
        <w:t xml:space="preserve">India Bangalore</w:t>
      </w:r>
      <w:r>
        <w:t xml:space="preserve">:</w:t>
      </w:r>
    </w:p>
    <w:p>
      <w:pPr>
        <w:pStyle w:val="BodyText"/>
      </w:pPr>
      <w:r>
        <w:rPr>
          <w:bCs/>
          <w:b/>
        </w:rPr>
        <w:t xml:space="preserve">The Importance of Local Legal Knowledge:</w:t>
      </w:r>
      <w:r>
        <w:br/>
      </w:r>
      <w:r>
        <w:t xml:space="preserve">A lawyer who lacks specific experience with the judicial temperament and procedural rules of</w:t>
      </w:r>
      <w:r>
        <w:t xml:space="preserve"> </w:t>
      </w:r>
      <w:r>
        <w:rPr>
          <w:bCs/>
          <w:b/>
        </w:rPr>
        <w:t xml:space="preserve">India Bangalore</w:t>
      </w:r>
      <w:r>
        <w:t xml:space="preserve">'s courts may miss critical deadlines or file motions that are technically incorrect. The ability to navigate the local bureaucracy efficiently is as important as legal knowledge.</w:t>
      </w:r>
    </w:p>
    <w:p>
      <w:pPr>
        <w:pStyle w:val="BodyText"/>
      </w:pPr>
      <w:r>
        <w:rPr>
          <w:bCs/>
          <w:b/>
        </w:rPr>
        <w:t xml:space="preserve">Tailored Legal Strategy:</w:t>
      </w:r>
      <w:r>
        <w:br/>
      </w:r>
      <w:r>
        <w:t xml:space="preserve">A generic legal approach would have failed. Because the lawyer recognized the specific limitations of contract law in India, they pivoted to intellectual property and equity-based claims, which are more robustly protected in Indian courts.</w:t>
      </w:r>
    </w:p>
    <w:p>
      <w:pPr>
        <w:pStyle w:val="BodyText"/>
      </w:pPr>
      <w:r>
        <w:rPr>
          <w:bCs/>
          <w:b/>
        </w:rPr>
        <w:t xml:space="preserve">Speed and Agility:</w:t>
      </w:r>
      <w:r>
        <w:br/>
      </w:r>
      <w:r>
        <w:t xml:space="preserve">In the fast-paced tech sector of</w:t>
      </w:r>
      <w:r>
        <w:t xml:space="preserve"> </w:t>
      </w:r>
      <w:r>
        <w:rPr>
          <w:bCs/>
          <w:b/>
        </w:rPr>
        <w:t xml:space="preserve">India Bangalore</w:t>
      </w:r>
      <w:r>
        <w:t xml:space="preserve">, legal battles can stall business progress. The lawyer’s ability to act with urgency—securing forensic evidence and court orders within weeks rather than months—was instrumental in saving the client’s business value.</w:t>
      </w:r>
    </w:p>
    <w:bookmarkEnd w:id="26"/>
    <w:bookmarkStart w:id="27" w:name="vii.-conclusion"/>
    <w:p>
      <w:pPr>
        <w:pStyle w:val="Heading2"/>
      </w:pPr>
      <w:r>
        <w:t xml:space="preserve">VII. Conclusion</w:t>
      </w:r>
    </w:p>
    <w:p>
      <w:pPr>
        <w:pStyle w:val="FirstParagraph"/>
      </w:pPr>
      <w:r>
        <w:t xml:space="preserve">The case of TechNova Solutions illustrates that engaging a competent lawyer is not merely a reactive measure for disputes but a strategic asset for growth. For startups and established firms alike, operating in the competitive market of</w:t>
      </w:r>
      <w:r>
        <w:t xml:space="preserve"> </w:t>
      </w:r>
      <w:r>
        <w:rPr>
          <w:bCs/>
          <w:b/>
        </w:rPr>
        <w:t xml:space="preserve">India Bangalore</w:t>
      </w:r>
      <w:r>
        <w:t xml:space="preserve">, having legal counsel that understands local jurisprudence, procedural shortcuts, and specific statutory frameworks is essential. This case study confirms that when technical legal expertise meets localized court knowledge in</w:t>
      </w:r>
      <w:r>
        <w:t xml:space="preserve"> </w:t>
      </w:r>
      <w:r>
        <w:rPr>
          <w:bCs/>
          <w:b/>
        </w:rPr>
        <w:t xml:space="preserve">India Bangalore</w:t>
      </w:r>
      <w:r>
        <w:t xml:space="preserve">, justice is not only served but delivered efficiently enough to support business continuity and prosperity.</w:t>
      </w:r>
    </w:p>
    <w:p>
      <w:pPr>
        <w:pStyle w:val="BodyText"/>
      </w:pPr>
      <w:r>
        <w:rPr>
          <w:iCs/>
          <w:i/>
        </w:rPr>
        <w:t xml:space="preserve">This document has been prepared for informational purposes regarding legal services available in the region of India Bangalore. It does not constitute an attorney-client relationship.</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India Bangalore</dc:title>
  <dc:creator/>
  <dc:language>en</dc:language>
  <cp:keywords/>
  <dcterms:created xsi:type="dcterms:W3CDTF">2026-07-29T05:28:16Z</dcterms:created>
  <dcterms:modified xsi:type="dcterms:W3CDTF">2026-07-29T05:28:16Z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