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Strategies</w:t>
      </w:r>
      <w:r>
        <w:t xml:space="preserve"> </w:t>
      </w:r>
      <w:r>
        <w:t xml:space="preserve">in</w:t>
      </w:r>
      <w:r>
        <w:t xml:space="preserve"> </w:t>
      </w:r>
      <w:r>
        <w:t xml:space="preserve">India</w:t>
      </w:r>
      <w:r>
        <w:t xml:space="preserve"> </w:t>
      </w:r>
      <w:r>
        <w:t xml:space="preserve">Mumbai</w:t>
      </w:r>
    </w:p>
    <w:bookmarkStart w:id="27" w:name="Xb8f172294ad1d7dcc461cdab0e2383946ae057e"/>
    <w:p>
      <w:pPr>
        <w:pStyle w:val="Heading1"/>
      </w:pPr>
      <w:r>
        <w:t xml:space="preserve">A Case Study on High-Stakes Commercial Litigation in India Mumbai</w:t>
      </w:r>
    </w:p>
    <w:p>
      <w:pPr>
        <w:pStyle w:val="FirstParagraph"/>
      </w:pPr>
      <w:r>
        <w:rPr>
          <w:bCs/>
          <w:b/>
        </w:rPr>
        <w:t xml:space="preserve">Date:</w:t>
      </w:r>
      <w:r>
        <w:t xml:space="preserve"> </w:t>
      </w:r>
      <w:r>
        <w:t xml:space="preserve">October 2023</w:t>
      </w:r>
      <w:r>
        <w:br/>
      </w:r>
      <w:r>
        <w:rPr>
          <w:bCs/>
          <w:b/>
        </w:rPr>
        <w:t xml:space="preserve">Firm:</w:t>
      </w:r>
      <w:r>
        <w:t xml:space="preserve"> </w:t>
      </w:r>
      <w:r>
        <w:t xml:space="preserve">Apex Juris Legal Solutions</w:t>
      </w:r>
      <w:r>
        <w:br/>
      </w:r>
      <w:r>
        <w:rPr>
          <w:bCs/>
          <w:b/>
        </w:rPr>
        <w:t xml:space="preserve">Jurisdiction:</w:t>
      </w:r>
      <w:r>
        <w:t xml:space="preserve"> </w:t>
      </w:r>
      <w:r>
        <w:t xml:space="preserve">High Court of Bombay &amp; Supreme Court of India</w:t>
      </w:r>
    </w:p>
    <w:bookmarkStart w:id="20" w:name="i.-executive-summary"/>
    <w:p>
      <w:pPr>
        <w:pStyle w:val="Heading2"/>
      </w:pPr>
      <w:r>
        <w:t xml:space="preserve">I. Executive Summary</w:t>
      </w:r>
    </w:p>
    <w:p>
      <w:pPr>
        <w:pStyle w:val="FirstParagraph"/>
      </w:pPr>
      <w:r>
        <w:t xml:space="preserve">This Case Study details the strategic litigation management required to secure a favorable judgment for a multinational technology conglomerate against a domestic manufacturing entity in</w:t>
      </w:r>
      <w:r>
        <w:t xml:space="preserve"> </w:t>
      </w:r>
      <w:r>
        <w:rPr>
          <w:bCs/>
          <w:b/>
        </w:rPr>
        <w:t xml:space="preserve">India Mumbai</w:t>
      </w:r>
      <w:r>
        <w:t xml:space="preserve">. The primary objective was to enforce an international arbitration award while simultaneously navigating complex regulatory hurdles imposed by Indian financial authorities. By leveraging the procedural efficiency of courts in</w:t>
      </w:r>
      <w:r>
        <w:t xml:space="preserve"> </w:t>
      </w:r>
      <w:r>
        <w:rPr>
          <w:bCs/>
          <w:b/>
        </w:rPr>
        <w:t xml:space="preserve">India Mumbai</w:t>
      </w:r>
      <w:r>
        <w:t xml:space="preserve">, and utilizing specialized expertise of a senior Lawyer, the case was resolved within eighteen months—a timeline significantly shorter than the national average for such disputes. This document serves as a testament to how localized legal knowledge combined with international best practices yields results in the vibrant legal market of</w:t>
      </w:r>
      <w:r>
        <w:t xml:space="preserve"> </w:t>
      </w:r>
      <w:r>
        <w:rPr>
          <w:bCs/>
          <w:b/>
        </w:rPr>
        <w:t xml:space="preserve">India Mumbai</w:t>
      </w:r>
      <w:r>
        <w:t xml:space="preserve">.</w:t>
      </w:r>
    </w:p>
    <w:bookmarkEnd w:id="20"/>
    <w:bookmarkStart w:id="21" w:name="ii.-background-and-context"/>
    <w:p>
      <w:pPr>
        <w:pStyle w:val="Heading2"/>
      </w:pPr>
      <w:r>
        <w:t xml:space="preserve">II. Background and Context</w:t>
      </w:r>
    </w:p>
    <w:p>
      <w:pPr>
        <w:pStyle w:val="FirstParagraph"/>
      </w:pPr>
      <w:r>
        <w:t xml:space="preserve">The dispute originated from a joint venture agreement signed between 'TechGlobal Inc.', a Silicon Valley-based firm, and 'Bharat Manufacturing Ltd.', a prominent entity based in the industrial belt surrounding</w:t>
      </w:r>
      <w:r>
        <w:t xml:space="preserve"> </w:t>
      </w:r>
      <w:r>
        <w:rPr>
          <w:bCs/>
          <w:b/>
        </w:rPr>
        <w:t xml:space="preserve">India Mumbai</w:t>
      </w:r>
      <w:r>
        <w:t xml:space="preserve">. The partnership aimed to manufacture semiconductor components within the Special Economic Zone of Maharashtra. When Bharat Manufacturing defaulted on its capital commitments and subsequently accused TechGlobal of intellectual property theft, TechGlobal initiated arbitration proceedings in London.</w:t>
      </w:r>
      <w:r>
        <w:t xml:space="preserve"> </w:t>
      </w:r>
      <w:r>
        <w:t xml:space="preserve">However, Bharat Manufacturing appealed this decision locally, arguing procedural irregularities under Indian contract laws. The legal battleground shifted primarily to the High Court located in</w:t>
      </w:r>
      <w:r>
        <w:t xml:space="preserve"> </w:t>
      </w:r>
      <w:r>
        <w:rPr>
          <w:bCs/>
          <w:b/>
        </w:rPr>
        <w:t xml:space="preserve">India Mumbai</w:t>
      </w:r>
      <w:r>
        <w:t xml:space="preserve">, a hub for commercial disputes due to its proximity to major financial institutions and corporate headquarters. For any Lawyer involved in such high-value litigation, understanding the specific judicial temperament of judges in</w:t>
      </w:r>
      <w:r>
        <w:t xml:space="preserve"> </w:t>
      </w:r>
      <w:r>
        <w:rPr>
          <w:bCs/>
          <w:b/>
        </w:rPr>
        <w:t xml:space="preserve">India Mumbai</w:t>
      </w:r>
      <w:r>
        <w:t xml:space="preserve"> </w:t>
      </w:r>
      <w:r>
        <w:t xml:space="preserve">is crucial.</w:t>
      </w:r>
    </w:p>
    <w:bookmarkEnd w:id="21"/>
    <w:bookmarkStart w:id="22" w:name="iii.-the-legal-challenge"/>
    <w:p>
      <w:pPr>
        <w:pStyle w:val="Heading2"/>
      </w:pPr>
      <w:r>
        <w:t xml:space="preserve">III. The Legal Challenge</w:t>
      </w:r>
    </w:p>
    <w:p>
      <w:pPr>
        <w:pStyle w:val="FirstParagraph"/>
      </w:pPr>
      <w:r>
        <w:t xml:space="preserve">Representing TechGlobal required a multi-faceted legal strategy managed by a lead Lawyer with over twenty years of experience in cross-border commercial law. The challenges were multifarious:</w:t>
      </w:r>
    </w:p>
    <w:p>
      <w:pPr>
        <w:numPr>
          <w:ilvl w:val="0"/>
          <w:numId w:val="1001"/>
        </w:numPr>
        <w:pStyle w:val="Compact"/>
      </w:pPr>
      <w:r>
        <w:rPr>
          <w:bCs/>
          <w:b/>
        </w:rPr>
        <w:t xml:space="preserve">Jurisdictional Complexity:</w:t>
      </w:r>
      <w:r>
        <w:t xml:space="preserve"> </w:t>
      </w:r>
      <w:r>
        <w:t xml:space="preserve">Balancing the enforceability of foreign awards under the New York Convention with local provisions of the Arbitration and Conciliation Act, 1996.</w:t>
      </w:r>
    </w:p>
    <w:p>
      <w:pPr>
        <w:numPr>
          <w:ilvl w:val="0"/>
          <w:numId w:val="1001"/>
        </w:numPr>
        <w:pStyle w:val="Compact"/>
      </w:pPr>
      <w:r>
        <w:rPr>
          <w:bCs/>
          <w:b/>
        </w:rPr>
        <w:t xml:space="preserve">Injunction Risks:</w:t>
      </w:r>
      <w:r>
        <w:t xml:space="preserve"> </w:t>
      </w:r>
      <w:r>
        <w:t xml:space="preserve">Bharat Manufacturing sought immediate injunctions to freeze TechGlobal’s assets in</w:t>
      </w:r>
      <w:r>
        <w:t xml:space="preserve"> </w:t>
      </w:r>
      <w:r>
        <w:rPr>
          <w:bCs/>
          <w:b/>
        </w:rPr>
        <w:t xml:space="preserve">India Mumbai</w:t>
      </w:r>
      <w:r>
        <w:t xml:space="preserve">, threatening cash flow operations.</w:t>
      </w:r>
    </w:p>
    <w:p>
      <w:pPr>
        <w:numPr>
          <w:ilvl w:val="0"/>
          <w:numId w:val="1001"/>
        </w:numPr>
        <w:pStyle w:val="Compact"/>
      </w:pPr>
      <w:r>
        <w:rPr>
          <w:bCs/>
          <w:b/>
        </w:rPr>
        <w:t xml:space="preserve">Cultural and Procedural Nuances:</w:t>
      </w:r>
      <w:r>
        <w:t xml:space="preserve"> </w:t>
      </w:r>
      <w:r>
        <w:t xml:space="preserve">Navigating the hierarchical and often informal networking dynamics prevalent in legal circles within</w:t>
      </w:r>
      <w:r>
        <w:t xml:space="preserve"> </w:t>
      </w:r>
      <w:r>
        <w:rPr>
          <w:bCs/>
          <w:b/>
        </w:rPr>
        <w:t xml:space="preserve">India Mumbai</w:t>
      </w:r>
      <w:r>
        <w:t xml:space="preserve">.</w:t>
      </w:r>
    </w:p>
    <w:p>
      <w:pPr>
        <w:pStyle w:val="FirstParagraph"/>
      </w:pPr>
      <w:r>
        <w:t xml:space="preserve">India Mumbai.</w:t>
      </w:r>
    </w:p>
    <w:bookmarkEnd w:id="22"/>
    <w:bookmarkStart w:id="23" w:name="iv.-strategic-implementation"/>
    <w:p>
      <w:pPr>
        <w:pStyle w:val="Heading2"/>
      </w:pPr>
      <w:r>
        <w:t xml:space="preserve">IV. Strategic Implementation</w:t>
      </w:r>
    </w:p>
    <w:p>
      <w:pPr>
        <w:pStyle w:val="FirstParagraph"/>
      </w:pPr>
      <w:r>
        <w:t xml:space="preserve">Upon analyzing the case file, the assigned Lawyer developed a three-pronged strategy tailored specifically for the jurisdiction of</w:t>
      </w:r>
      <w:r>
        <w:t xml:space="preserve"> </w:t>
      </w:r>
      <w:r>
        <w:rPr>
          <w:bCs/>
          <w:b/>
        </w:rPr>
        <w:t xml:space="preserve">India Mumbai</w:t>
      </w:r>
      <w:r>
        <w:t xml:space="preserve">:</w:t>
      </w:r>
    </w:p>
    <w:p>
      <w:pPr>
        <w:pStyle w:val="BodyText"/>
      </w:pPr>
      <w:r>
        <w:rPr>
          <w:iCs/>
          <w:i/>
        </w:rPr>
        <w:t xml:space="preserve">A. Pre-Emptive Asset Protection:</w:t>
      </w:r>
    </w:p>
    <w:p>
      <w:pPr>
        <w:pStyle w:val="BodyText"/>
      </w:pPr>
      <w:r>
        <w:t xml:space="preserve">Rather than waiting for Bharat Manufacturing to secure an injunction, the Lawyer filed a preemptive application demonstrating that TechGlobal’s assets were held in escrow accounts outside the direct control of Indian courts, thereby reducing the risk of wrongful attachment. This proactive move was critical in establishing credibility with judges familiar with</w:t>
      </w:r>
      <w:r>
        <w:t xml:space="preserve"> </w:t>
      </w:r>
      <w:r>
        <w:rPr>
          <w:bCs/>
          <w:b/>
        </w:rPr>
        <w:t xml:space="preserve">India Mumbai</w:t>
      </w:r>
      <w:r>
        <w:t xml:space="preserve"> </w:t>
      </w:r>
      <w:r>
        <w:t xml:space="preserve">commercial practices.</w:t>
      </w:r>
    </w:p>
    <w:p>
      <w:pPr>
        <w:pStyle w:val="BodyText"/>
      </w:pPr>
      <w:r>
        <w:rPr>
          <w:iCs/>
          <w:i/>
        </w:rPr>
        <w:t xml:space="preserve">B. Leveraging Local Precedents:</w:t>
      </w:r>
    </w:p>
    <w:p>
      <w:pPr>
        <w:pStyle w:val="BodyText"/>
      </w:pPr>
      <w:r>
        <w:t xml:space="preserve">The Lawyer conducted an exhaustive review of past judgments from the High Court in</w:t>
      </w:r>
      <w:r>
        <w:t xml:space="preserve"> </w:t>
      </w:r>
      <w:r>
        <w:rPr>
          <w:bCs/>
          <w:b/>
        </w:rPr>
        <w:t xml:space="preserve">India Mumbai</w:t>
      </w:r>
      <w:r>
        <w:t xml:space="preserve">. They identified a precedent where a similar claim of IP theft was dismissed due to lack of tangible evidence within forty-eight hours of filing. By citing this specific case law, the Lawyer created doubt regarding the validity of Bharat Manufacturing’s counterclaims.</w:t>
      </w:r>
    </w:p>
    <w:p>
      <w:pPr>
        <w:pStyle w:val="BodyText"/>
      </w:pPr>
      <w:r>
        <w:rPr>
          <w:iCs/>
          <w:i/>
        </w:rPr>
        <w:t xml:space="preserve">C. Mediation Integration:</w:t>
      </w:r>
    </w:p>
    <w:p>
      <w:pPr>
        <w:pStyle w:val="BodyText"/>
      </w:pPr>
      <w:r>
        <w:t xml:space="preserve">Understanding that litigation in</w:t>
      </w:r>
      <w:r>
        <w:t xml:space="preserve"> </w:t>
      </w:r>
      <w:r>
        <w:rPr>
          <w:bCs/>
          <w:b/>
        </w:rPr>
        <w:t xml:space="preserve">India Mumbai</w:t>
      </w:r>
      <w:r>
        <w:t xml:space="preserve"> </w:t>
      </w:r>
      <w:r>
        <w:t xml:space="preserve">can be prolonged if contested aggressively, the Lawyer utilized Section 89 of the Civil Procedure Code to push for structured mediation. However, this was used strategically; by appearing willing to negotiate while simultaneously preparing for trial, the Lawyer increased pressure on Bharat Manufacturing’s legal team to settle.</w:t>
      </w:r>
    </w:p>
    <w:bookmarkEnd w:id="23"/>
    <w:bookmarkStart w:id="24" w:name="v.-outcome-and-results"/>
    <w:p>
      <w:pPr>
        <w:pStyle w:val="Heading2"/>
      </w:pPr>
      <w:r>
        <w:t xml:space="preserve">V. Outcome and Results</w:t>
      </w:r>
    </w:p>
    <w:p>
      <w:pPr>
        <w:pStyle w:val="FirstParagraph"/>
      </w:pPr>
      <w:r>
        <w:t xml:space="preserve">The final judgment, delivered by a single judge in</w:t>
      </w:r>
      <w:r>
        <w:t xml:space="preserve"> </w:t>
      </w:r>
      <w:r>
        <w:rPr>
          <w:bCs/>
          <w:b/>
        </w:rPr>
        <w:t xml:space="preserve">India Mumbai</w:t>
      </w:r>
      <w:r>
        <w:t xml:space="preserve">, upheld the foreign arbitration award with minor modifications regarding interest rates. Furthermore, the injunction against TechGlobal was dismissed entirely, allowing immediate repatriation of profits.</w:t>
      </w:r>
      <w:r>
        <w:t xml:space="preserve"> </w:t>
      </w:r>
      <w:r>
        <w:t xml:space="preserve">Key metrics from this Case Study include:</w:t>
      </w:r>
    </w:p>
    <w:p>
      <w:pPr>
        <w:numPr>
          <w:ilvl w:val="0"/>
          <w:numId w:val="1002"/>
        </w:numPr>
        <w:pStyle w:val="Compact"/>
      </w:pPr>
      <w:r>
        <w:rPr>
          <w:bCs/>
          <w:b/>
        </w:rPr>
        <w:t xml:space="preserve">Time Saved:</w:t>
      </w:r>
      <w:r>
        <w:t xml:space="preserve"> </w:t>
      </w:r>
      <w:r>
        <w:t xml:space="preserve">The case concluded in 18 months compared to the industry average of 36-42 months for similar cross-border disputes in</w:t>
      </w:r>
      <w:r>
        <w:t xml:space="preserve"> </w:t>
      </w:r>
      <w:r>
        <w:rPr>
          <w:bCs/>
          <w:b/>
        </w:rPr>
        <w:t xml:space="preserve">India Mumbai</w:t>
      </w:r>
      <w:r>
        <w:t xml:space="preserve">.</w:t>
      </w:r>
    </w:p>
    <w:p>
      <w:pPr>
        <w:numPr>
          <w:ilvl w:val="0"/>
          <w:numId w:val="1002"/>
        </w:numPr>
        <w:pStyle w:val="Compact"/>
      </w:pPr>
      <w:r>
        <w:t xml:space="preserve">Cost Efficiency:The strategic use of mediation reduced legal fees by approximately 40%.</w:t>
      </w:r>
    </w:p>
    <w:p>
      <w:pPr>
        <w:numPr>
          <w:ilvl w:val="0"/>
          <w:numId w:val="1002"/>
        </w:numPr>
        <w:pStyle w:val="Compact"/>
      </w:pPr>
      <w:r>
        <w:t xml:space="preserve">Precedent Setting:The judgment clarified the burden of proof for IP theft claims in joint ventures within the jurisdiction of</w:t>
      </w:r>
      <w:r>
        <w:t xml:space="preserve"> </w:t>
      </w:r>
      <w:r>
        <w:rPr>
          <w:bCs/>
          <w:b/>
        </w:rPr>
        <w:t xml:space="preserve">India Mumbai</w:t>
      </w:r>
      <w:r>
        <w:t xml:space="preserve">.</w:t>
      </w:r>
    </w:p>
    <w:p>
      <w:pPr>
        <w:pStyle w:val="FirstParagraph"/>
      </w:pPr>
      <w:r>
        <w:t xml:space="preserve">India Mumbai.</w:t>
      </w:r>
    </w:p>
    <w:bookmarkEnd w:id="24"/>
    <w:bookmarkStart w:id="25" w:name="X6a1f38d8ab65fe54b553ed327757d4ab0cba32d"/>
    <w:p>
      <w:pPr>
        <w:pStyle w:val="Heading2"/>
      </w:pPr>
      <w:r>
        <w:t xml:space="preserve">VI. Lessons Learned for Legal Practitioners</w:t>
      </w:r>
    </w:p>
    <w:p>
      <w:pPr>
        <w:pStyle w:val="FirstParagraph"/>
      </w:pPr>
      <w:r>
        <w:t xml:space="preserve">This Case Study offers several takeaways for legal professionals operating in or entering the market of</w:t>
      </w:r>
      <w:r>
        <w:t xml:space="preserve"> </w:t>
      </w:r>
      <w:r>
        <w:rPr>
          <w:bCs/>
          <w:b/>
        </w:rPr>
        <w:t xml:space="preserve">India Mumbai</w:t>
      </w:r>
      <w:r>
        <w:t xml:space="preserve">:</w:t>
      </w:r>
      <w:r>
        <w:t xml:space="preserve"> </w:t>
      </w:r>
      <w:r>
        <w:t xml:space="preserve">1.</w:t>
      </w:r>
      <w:r>
        <w:rPr>
          <w:iCs/>
          <w:i/>
        </w:rPr>
        <w:t xml:space="preserve">Cultural Competence is Key:</w:t>
      </w:r>
      <w:r>
        <w:t xml:space="preserve"> </w:t>
      </w:r>
      <w:r>
        <w:t xml:space="preserve">In</w:t>
      </w:r>
      <w:r>
        <w:t xml:space="preserve"> </w:t>
      </w:r>
      <w:r>
        <w:rPr>
          <w:bCs/>
          <w:b/>
        </w:rPr>
        <w:t xml:space="preserve">India Mumbai, relationships matter. A Lawyer must build rapport not just with clients, but with court staff, advocates on record, and opposing counsel.</w:t>
      </w:r>
      <w:r>
        <w:rPr>
          <w:bCs/>
          <w:b/>
        </w:rPr>
        <w:t xml:space="preserve"> </w:t>
      </w:r>
      <w:r>
        <w:rPr>
          <w:bCs/>
          <w:b/>
        </w:rPr>
        <w:t xml:space="preserve">2.</w:t>
      </w:r>
      <w:r>
        <w:rPr>
          <w:iCs/>
          <w:i/>
          <w:bCs/>
          <w:b/>
        </w:rPr>
        <w:t xml:space="preserve">Procedural Mastery:The High Court in</w:t>
      </w:r>
      <w:r>
        <w:rPr>
          <w:iCs/>
          <w:i/>
          <w:bCs/>
          <w:b/>
        </w:rPr>
        <w:t xml:space="preserve"> </w:t>
      </w:r>
      <w:r>
        <w:rPr>
          <w:bCs/>
          <w:b/>
          <w:iCs/>
          <w:i/>
          <w:bCs/>
          <w:b/>
        </w:rPr>
        <w:t xml:space="preserve">India Mumbai</w:t>
      </w:r>
      <w:r>
        <w:rPr>
          <w:iCs/>
          <w:i/>
          <w:bCs/>
          <w:b/>
        </w:rPr>
        <w:t xml:space="preserve">has specific rules of business and scheduling preferences that differ from other Indian cities like Delhi or Bangalore. A Lawyer must master these local protocols to avoid procedural delays.</w:t>
      </w:r>
      <w:r>
        <w:rPr>
          <w:iCs/>
          <w:i/>
          <w:bCs/>
          <w:b/>
        </w:rPr>
        <w:t xml:space="preserve"> </w:t>
      </w:r>
      <w:r>
        <w:rPr>
          <w:iCs/>
          <w:i/>
          <w:bCs/>
          <w:b/>
        </w:rPr>
        <w:t xml:space="preserve">3.</w:t>
      </w:r>
      <w:r>
        <w:rPr>
          <w:iCs/>
          <w:i/>
          <w:iCs/>
          <w:i/>
          <w:bCs/>
          <w:b/>
        </w:rPr>
        <w:t xml:space="preserve">Strategic Patience:Litigation in</w:t>
      </w:r>
      <w:r>
        <w:rPr>
          <w:iCs/>
          <w:i/>
          <w:iCs/>
          <w:i/>
          <w:bCs/>
          <w:b/>
        </w:rPr>
        <w:t xml:space="preserve"> </w:t>
      </w:r>
      <w:r>
        <w:rPr>
          <w:bCs/>
          <w:b/>
          <w:iCs/>
          <w:i/>
          <w:iCs/>
          <w:i/>
          <w:bCs/>
          <w:b/>
        </w:rPr>
        <w:t xml:space="preserve">India Mumbai can be slow, but speed can be achieved through strategic filings that force judicial attention. A Lawyer should know when to accelerate proceedings and when to pause for negotiation.</w:t>
      </w:r>
    </w:p>
    <w:bookmarkEnd w:id="25"/>
    <w:bookmarkStart w:id="26" w:name="vii.-conclusion"/>
    <w:p>
      <w:pPr>
        <w:pStyle w:val="Heading2"/>
      </w:pPr>
      <w:r>
        <w:t xml:space="preserve">VII. Conclusion</w:t>
      </w:r>
    </w:p>
    <w:p>
      <w:pPr>
        <w:pStyle w:val="FirstParagraph"/>
      </w:pPr>
      <w:r>
        <w:t xml:space="preserve">In conclusion, this Case Study illustrates the critical importance of specialized legal representation in complex commercial disputes within</w:t>
      </w:r>
    </w:p>
    <w:p>
      <w:pPr>
        <w:pStyle w:val="BodyText"/>
      </w:pPr>
      <w:r>
        <w:t xml:space="preserve">India Mumbai. The synergy between international corporate goals and local legal expertise provided by a seasoned Lawyer proved decisive. For multinational corporations looking to engage with Indian markets, partnering with a Lawyer who has deep roots and proven success in the courts of</w:t>
      </w:r>
      <w:r>
        <w:t xml:space="preserve"> </w:t>
      </w:r>
      <w:r>
        <w:rPr>
          <w:bCs/>
          <w:b/>
        </w:rPr>
        <w:t xml:space="preserve">India Mumbai</w:t>
      </w:r>
      <w:r>
        <w:t xml:space="preserve"> </w:t>
      </w:r>
      <w:r>
        <w:t xml:space="preserve">is not merely an option; it is a strategic necessity. The dynamics of justice in</w:t>
      </w:r>
    </w:p>
    <w:p>
      <w:pPr>
        <w:pStyle w:val="BodyText"/>
      </w:pPr>
      <w:r>
        <w:t xml:space="preserve">India Mumbai require agility, precision, and cultural fluency—qualities that this Case Study highlights as essential for legal victory.</w:t>
      </w:r>
      <w:r>
        <w:t xml:space="preserve"> </w:t>
      </w:r>
      <w:r>
        <w:t xml:space="preserve">As the legal landscape in India continues to evolve, particularly with recent amendments to arbitration laws and digital court initiatives in</w:t>
      </w:r>
    </w:p>
    <w:p>
      <w:pPr>
        <w:pStyle w:val="BodyText"/>
      </w:pPr>
      <w:r>
        <w:t xml:space="preserve">India Mumbai, the role of an adaptable Lawyer becomes even more pivotal. This document serves as a blueprint for future engagements, emphasizing that success lies at the intersection of rigorous legal analysis and localized judicial wisdom.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Strategies in India Mumbai</dc:title>
  <dc:creator/>
  <dc:language>en</dc:language>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