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Legal</w:t>
      </w:r>
      <w:r>
        <w:t xml:space="preserve"> </w:t>
      </w:r>
      <w:r>
        <w:t xml:space="preserve">Representation</w:t>
      </w:r>
      <w:r>
        <w:t xml:space="preserve"> </w:t>
      </w:r>
      <w:r>
        <w:t xml:space="preserve">in</w:t>
      </w:r>
      <w:r>
        <w:t xml:space="preserve"> </w:t>
      </w:r>
      <w:r>
        <w:t xml:space="preserve">Indonesia</w:t>
      </w:r>
      <w:r>
        <w:t xml:space="preserve"> </w:t>
      </w:r>
      <w:r>
        <w:t xml:space="preserve">Jakarta</w:t>
      </w:r>
    </w:p>
    <w:bookmarkStart w:id="28" w:name="Xd146106944956705ab9a1f0b2ac6ca59a7a144d"/>
    <w:p>
      <w:pPr>
        <w:pStyle w:val="Heading1"/>
      </w:pPr>
      <w:r>
        <w:t xml:space="preserve">Mitigating Corporate Risk in the Heart of Southeast Asia: A Case Study on Effective Lawyer Services in Indonesia Jakarta</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Republic of Indonesia (Jakarta Special Capital Region)</w:t>
      </w:r>
      <w:r>
        <w:br/>
      </w:r>
      <w:r>
        <w:rPr>
          <w:bCs/>
          <w:b/>
        </w:rPr>
        <w:t xml:space="preserve">Subject:</w:t>
      </w:r>
      <w:r>
        <w:t xml:space="preserve"> </w:t>
      </w:r>
      <w:r>
        <w:t xml:space="preserve">Complex Cross-Border M&amp;A Due Diligence and Regulatory Compliance</w:t>
      </w:r>
    </w:p>
    <w:bookmarkStart w:id="20" w:name="executive-summary"/>
    <w:p>
      <w:pPr>
        <w:pStyle w:val="Heading2"/>
      </w:pPr>
      <w:r>
        <w:t xml:space="preserve">1. Executive Summary</w:t>
      </w:r>
    </w:p>
    <w:p>
      <w:pPr>
        <w:pStyle w:val="FirstParagraph"/>
      </w:pPr>
      <w:r>
        <w:t xml:space="preserve">In the rapidly evolving economic landscape of Southeast Asia, Jakarta serves as the undisputed commercial hub of Indonesia. For international corporations looking to expand their footprint in the archipelago, navigating the local legal framework is not merely a formality but a critical strategic imperative. This case study examines a high-stakes corporate scenario where a multinational entity engaged specialized legal counsel within</w:t>
      </w:r>
      <w:r>
        <w:t xml:space="preserve"> </w:t>
      </w:r>
      <w:r>
        <w:rPr>
          <w:bCs/>
          <w:b/>
        </w:rPr>
        <w:t xml:space="preserve">Indonesia Jakarta</w:t>
      </w:r>
      <w:r>
        <w:t xml:space="preserve"> </w:t>
      </w:r>
      <w:r>
        <w:t xml:space="preserve">to facilitate a sensitive merger and acquisition (M&amp;A) process.</w:t>
      </w:r>
    </w:p>
    <w:p>
      <w:pPr>
        <w:pStyle w:val="BodyText"/>
      </w:pPr>
      <w:r>
        <w:t xml:space="preserve">The primary objective of this document is to illustrate how an experienced</w:t>
      </w:r>
      <w:r>
        <w:t xml:space="preserve"> </w:t>
      </w:r>
      <w:r>
        <w:rPr>
          <w:bCs/>
          <w:b/>
        </w:rPr>
        <w:t xml:space="preserve">Lawyer</w:t>
      </w:r>
      <w:r>
        <w:t xml:space="preserve">, deeply embedded in the local regulatory environment, can mitigate significant risks associated with foreign ownership restrictions, labor laws, and bureaucratic compliance. By focusing on the specific nuances of operating in</w:t>
      </w:r>
      <w:r>
        <w:t xml:space="preserve"> </w:t>
      </w:r>
      <w:r>
        <w:rPr>
          <w:bCs/>
          <w:b/>
        </w:rPr>
        <w:t xml:space="preserve">Indonesia Jakarta</w:t>
      </w:r>
      <w:r>
        <w:t xml:space="preserve">, this study highlights that successful business expansion relies heavily on the strategic application of local legal expertise rather than generic international advice.</w:t>
      </w:r>
    </w:p>
    <w:bookmarkEnd w:id="20"/>
    <w:bookmarkStart w:id="21" w:name="client-background-and-challenge"/>
    <w:p>
      <w:pPr>
        <w:pStyle w:val="Heading2"/>
      </w:pPr>
      <w:r>
        <w:t xml:space="preserve">2. Client Background and Challenge</w:t>
      </w:r>
    </w:p>
    <w:p>
      <w:pPr>
        <w:pStyle w:val="FirstParagraph"/>
      </w:pPr>
      <w:r>
        <w:t xml:space="preserve">The client, "TechNova Solutions," a mid-sized technology firm based in Europe, sought to acquire a majority stake in a local Indonesian logistics startup. The target company was headquartered in South Jakarta, the epicenter of business activity within</w:t>
      </w:r>
      <w:r>
        <w:t xml:space="preserve"> </w:t>
      </w:r>
      <w:r>
        <w:rPr>
          <w:bCs/>
          <w:b/>
        </w:rPr>
        <w:t xml:space="preserve">Indonesia Jakarta</w:t>
      </w:r>
      <w:r>
        <w:t xml:space="preserve">. While the financials were attractive, the legal landscape presented formidable hurdles.</w:t>
      </w:r>
    </w:p>
    <w:p>
      <w:pPr>
        <w:pStyle w:val="BodyText"/>
      </w:pPr>
      <w:r>
        <w:t xml:space="preserve">TechNova’s primary challenges included:</w:t>
      </w:r>
    </w:p>
    <w:p>
      <w:pPr>
        <w:numPr>
          <w:ilvl w:val="0"/>
          <w:numId w:val="1001"/>
        </w:numPr>
        <w:pStyle w:val="Compact"/>
      </w:pPr>
      <w:r>
        <w:rPr>
          <w:bCs/>
          <w:b/>
        </w:rPr>
        <w:t xml:space="preserve">Negative Investment List Restrictions:</w:t>
      </w:r>
      <w:r>
        <w:t xml:space="preserve"> </w:t>
      </w:r>
      <w:r>
        <w:t xml:space="preserve">Understanding which sectors remain closed or partially open to foreign investors under Indonesian law.</w:t>
      </w:r>
    </w:p>
    <w:p>
      <w:pPr>
        <w:numPr>
          <w:ilvl w:val="0"/>
          <w:numId w:val="1001"/>
        </w:numPr>
        <w:pStyle w:val="Compact"/>
      </w:pPr>
      <w:r>
        <w:rPr>
          <w:bCs/>
          <w:b/>
        </w:rPr>
        <w:t xml:space="preserve">Labor Law Compliance:</w:t>
      </w:r>
      <w:r>
        <w:t xml:space="preserve"> </w:t>
      </w:r>
      <w:r>
        <w:t xml:space="preserve">Ensuring that existing employees were compliant with the Omnibus Law on Job Creation, particularly regarding termination and severance pay in a high-cost metropolitan area like Jakarta.</w:t>
      </w:r>
    </w:p>
    <w:p>
      <w:pPr>
        <w:numPr>
          <w:ilvl w:val="0"/>
          <w:numId w:val="1001"/>
        </w:numPr>
        <w:pStyle w:val="Compact"/>
      </w:pPr>
      <w:r>
        <w:rPr>
          <w:bCs/>
          <w:b/>
        </w:rPr>
        <w:t xml:space="preserve">Licensing Hurdles:</w:t>
      </w:r>
      <w:r>
        <w:t xml:space="preserve"> </w:t>
      </w:r>
      <w:r>
        <w:t xml:space="preserve">Navigating the complex licensing system managed by various local ministries and regional governments within Jakarta.</w:t>
      </w:r>
    </w:p>
    <w:p>
      <w:pPr>
        <w:pStyle w:val="FirstParagraph"/>
      </w:pPr>
      <w:r>
        <w:t xml:space="preserve">The client’s previous attempts to handle the transaction internally had stalled due to misinterpretations of local regulations. They required a dedicated</w:t>
      </w:r>
      <w:r>
        <w:t xml:space="preserve"> </w:t>
      </w:r>
      <w:r>
        <w:rPr>
          <w:bCs/>
          <w:b/>
        </w:rPr>
        <w:t xml:space="preserve">Lawyer</w:t>
      </w:r>
      <w:r>
        <w:t xml:space="preserve"> </w:t>
      </w:r>
      <w:r>
        <w:t xml:space="preserve">who could bridge the gap between international corporate standards and Indonesian legal realities.</w:t>
      </w:r>
    </w:p>
    <w:bookmarkEnd w:id="21"/>
    <w:bookmarkStart w:id="24" w:name="Xe0f86b8dc99a2c3b1ae720914b23a4aa4aa3ed8"/>
    <w:p>
      <w:pPr>
        <w:pStyle w:val="Heading2"/>
      </w:pPr>
      <w:r>
        <w:t xml:space="preserve">3. The Role of the Lawyer in Indonesia Jakarta</w:t>
      </w:r>
    </w:p>
    <w:p>
      <w:pPr>
        <w:pStyle w:val="FirstParagraph"/>
      </w:pPr>
      <w:r>
        <w:t xml:space="preserve">The engagement of a specialized local firm was pivotal. In the context of</w:t>
      </w:r>
      <w:r>
        <w:t xml:space="preserve"> </w:t>
      </w:r>
      <w:r>
        <w:rPr>
          <w:bCs/>
          <w:b/>
        </w:rPr>
        <w:t xml:space="preserve">Indonesia Jakarta</w:t>
      </w:r>
      <w:r>
        <w:t xml:space="preserve">, a</w:t>
      </w:r>
      <w:r>
        <w:t xml:space="preserve"> </w:t>
      </w:r>
      <w:r>
        <w:rPr>
          <w:bCs/>
          <w:b/>
        </w:rPr>
        <w:t xml:space="preserve">Lawyer</w:t>
      </w:r>
      <w:r>
        <w:t xml:space="preserve">s role extends far beyond courtroom litigation; it involves proactive regulatory advisory and stakeholder management.</w:t>
      </w:r>
    </w:p>
    <w:p>
      <w:pPr>
        <w:pStyle w:val="BlockText"/>
      </w:pPr>
      <w:r>
        <w:t xml:space="preserve">"In Jakarta, the letter of the law is only half the battle. The other half lies in understanding how regulations are interpreted by local government bodies." - Senior Partner at Local Firm.</w:t>
      </w:r>
    </w:p>
    <w:bookmarkStart w:id="22" w:name="navigating-foreign-ownership-limits"/>
    <w:p>
      <w:pPr>
        <w:pStyle w:val="Heading3"/>
      </w:pPr>
      <w:r>
        <w:t xml:space="preserve">3.1 Navigating Foreign Ownership Limits</w:t>
      </w:r>
    </w:p>
    <w:p>
      <w:pPr>
        <w:pStyle w:val="FirstParagraph"/>
      </w:pPr>
      <w:r>
        <w:t xml:space="preserve">The first critical intervention by the</w:t>
      </w:r>
      <w:r>
        <w:t xml:space="preserve"> </w:t>
      </w:r>
      <w:r>
        <w:rPr>
          <w:bCs/>
          <w:b/>
        </w:rPr>
        <w:t xml:space="preserve">Lawyer</w:t>
      </w:r>
      <w:r>
        <w:t xml:space="preserve">s involved structuring the acquisition to comply with the Indonesian Negative Investment List (DNI). The target company operated in a sector that required a specific local partner for certain percentages of equity. The legal team conducted a comprehensive review of Government Regulations and Ministry decrees to identify permissible structures. They advised TechNova to utilize a Local Joint Venture Partner (PT PMA) structure, ensuring that the</w:t>
      </w:r>
      <w:r>
        <w:t xml:space="preserve"> </w:t>
      </w:r>
      <w:r>
        <w:rPr>
          <w:bCs/>
          <w:b/>
        </w:rPr>
        <w:t xml:space="preserve">Lawyer</w:t>
      </w:r>
      <w:r>
        <w:t xml:space="preserve">s carefully drafted articles of association to protect foreign investor rights while adhering to local mandates.</w:t>
      </w:r>
    </w:p>
    <w:p>
      <w:pPr>
        <w:pStyle w:val="BodyText"/>
      </w:pPr>
      <w:r>
        <w:t xml:space="preserve">Jakarta’s labor market is highly regulated and litigious. The</w:t>
      </w:r>
      <w:r>
        <w:t xml:space="preserve"> </w:t>
      </w:r>
      <w:r>
        <w:rPr>
          <w:bCs/>
          <w:b/>
        </w:rPr>
        <w:t xml:space="preserve">Lawyer</w:t>
      </w:r>
      <w:r>
        <w:t xml:space="preserve">s team performed an extensive audit of the target company’s employment contracts. They discovered that several senior managers were on short-term contracts that violated the new permanence provisions introduced in recent amendments to the Manpower Law. The legal counsel negotiated a restructuring plan that allowed for a smooth transition of staff, avoiding potential strikes or mass litigation in Jakarta courts.</w:t>
      </w:r>
    </w:p>
    <w:bookmarkEnd w:id="22"/>
    <w:bookmarkStart w:id="23" w:name="bureaucratic-navigation"/>
    <w:p>
      <w:pPr>
        <w:pStyle w:val="Heading3"/>
      </w:pPr>
      <w:r>
        <w:t xml:space="preserve">3.3 Bureaucratic Navigation</w:t>
      </w:r>
    </w:p>
    <w:p>
      <w:pPr>
        <w:pStyle w:val="FirstParagraph"/>
      </w:pPr>
      <w:r>
        <w:t xml:space="preserve">In</w:t>
      </w:r>
      <w:r>
        <w:t xml:space="preserve"> </w:t>
      </w:r>
      <w:r>
        <w:rPr>
          <w:bCs/>
          <w:b/>
        </w:rPr>
        <w:t xml:space="preserve">Indonesia Jakarta</w:t>
      </w:r>
      <w:r>
        <w:t xml:space="preserve">, the proximity of businesses to government institutions allows for nuanced interaction but also requires precise procedural compliance. The lawyers facilitated introductions to relevant licensing bodies, such as the Investment Coordinating Board (BKPM) and local district offices in South Jakarta. Their expertise ensured that all required permits were not just applied for, but processed efficiently, reducing the transaction timeline by three months.</w:t>
      </w:r>
    </w:p>
    <w:bookmarkEnd w:id="23"/>
    <w:bookmarkEnd w:id="24"/>
    <w:bookmarkStart w:id="25" w:name="strategic-outcomes"/>
    <w:p>
      <w:pPr>
        <w:pStyle w:val="Heading2"/>
      </w:pPr>
      <w:r>
        <w:t xml:space="preserve">4. Strategic Outcomes</w:t>
      </w:r>
    </w:p>
    <w:p>
      <w:pPr>
        <w:pStyle w:val="FirstParagraph"/>
      </w:pPr>
      <w:r>
        <w:t xml:space="preserve">The collaboration between TechNova and the local legal team resulted in a successful closure of the deal within six months. The key outcomes included:</w:t>
      </w:r>
    </w:p>
    <w:p>
      <w:pPr>
        <w:numPr>
          <w:ilvl w:val="0"/>
          <w:numId w:val="1002"/>
        </w:numPr>
        <w:pStyle w:val="Compact"/>
      </w:pPr>
      <w:r>
        <w:rPr>
          <w:bCs/>
          <w:b/>
        </w:rPr>
        <w:t xml:space="preserve">Risk Mitigation:</w:t>
      </w:r>
      <w:r>
        <w:t xml:space="preserve"> </w:t>
      </w:r>
      <w:r>
        <w:t xml:space="preserve">Identified and resolved three major latent liabilities regarding unpaid taxes and incomplete building permits for logistics warehouses in Jakarta.</w:t>
      </w:r>
    </w:p>
    <w:p>
      <w:pPr>
        <w:numPr>
          <w:ilvl w:val="0"/>
          <w:numId w:val="1002"/>
        </w:numPr>
        <w:pStyle w:val="Compact"/>
      </w:pPr>
      <w:r>
        <w:rPr>
          <w:bCs/>
          <w:b/>
        </w:rPr>
        <w:t xml:space="preserve">Cultural Integration:</w:t>
      </w:r>
      <w:r>
        <w:t xml:space="preserve"> </w:t>
      </w:r>
      <w:r>
        <w:t xml:space="preserve">The legal framework established by the lawyers facilitated a smoother cultural integration between European management styles and Indonesian operational norms.</w:t>
      </w:r>
    </w:p>
    <w:p>
      <w:pPr>
        <w:numPr>
          <w:ilvl w:val="0"/>
          <w:numId w:val="1002"/>
        </w:numPr>
        <w:pStyle w:val="Compact"/>
      </w:pPr>
      <w:r>
        <w:rPr>
          <w:bCs/>
          <w:b/>
        </w:rPr>
        <w:t xml:space="preserve">Cost Efficiency:</w:t>
      </w:r>
      <w:r>
        <w:t xml:space="preserve"> </w:t>
      </w:r>
      <w:r>
        <w:t xml:space="preserve">By avoiding regulatory fines and litigation through proactive advice, the client saved an estimated 15% in potential post-acquisition costs.</w:t>
      </w:r>
    </w:p>
    <w:p>
      <w:pPr>
        <w:pStyle w:val="FirstParagraph"/>
      </w:pPr>
      <w:r>
        <w:t xml:space="preserve">The successful transaction demonstrated that a well-qualified</w:t>
      </w:r>
      <w:r>
        <w:t xml:space="preserve"> </w:t>
      </w:r>
      <w:r>
        <w:rPr>
          <w:bCs/>
          <w:b/>
        </w:rPr>
        <w:t xml:space="preserve">Lawyer</w:t>
      </w:r>
      <w:r>
        <w:t xml:space="preserve">, specifically one with deep roots in the Jakarta ecosystem, is not just a service provider but a strategic partner. The ability to interpret the complex web of national laws and local Jakarta ordinances provided TechNova with the confidence to proceed.</w:t>
      </w:r>
    </w:p>
    <w:bookmarkEnd w:id="25"/>
    <w:bookmarkStart w:id="26" w:name="lessons-learned-for-future-investors"/>
    <w:p>
      <w:pPr>
        <w:pStyle w:val="Heading2"/>
      </w:pPr>
      <w:r>
        <w:t xml:space="preserve">5. Lessons Learned for Future Investors</w:t>
      </w:r>
    </w:p>
    <w:p>
      <w:pPr>
        <w:pStyle w:val="FirstParagraph"/>
      </w:pPr>
      <w:r>
        <w:t xml:space="preserve">This case study offers several critical takeaways for entities looking to operate in</w:t>
      </w:r>
      <w:r>
        <w:t xml:space="preserve"> </w:t>
      </w:r>
      <w:r>
        <w:rPr>
          <w:bCs/>
          <w:b/>
        </w:rPr>
        <w:t xml:space="preserve">Indonesia Jakarta</w:t>
      </w:r>
      <w:r>
        <w:t xml:space="preserve">:</w:t>
      </w:r>
    </w:p>
    <w:p>
      <w:pPr>
        <w:numPr>
          <w:ilvl w:val="0"/>
          <w:numId w:val="1003"/>
        </w:numPr>
        <w:pStyle w:val="Compact"/>
      </w:pPr>
      <w:r>
        <w:rPr>
          <w:bCs/>
          <w:b/>
        </w:rPr>
        <w:t xml:space="preserve">Late Engagement is Costly:</w:t>
      </w:r>
      <w:r>
        <w:t xml:space="preserve"> </w:t>
      </w:r>
      <w:r>
        <w:t xml:space="preserve">Involving a local lawyer at the due diligence stage, rather than post-closure, prevents structural flaws that are expensive to fix later.</w:t>
      </w:r>
    </w:p>
    <w:p>
      <w:pPr>
        <w:numPr>
          <w:ilvl w:val="0"/>
          <w:numId w:val="1003"/>
        </w:numPr>
        <w:pStyle w:val="Compact"/>
      </w:pPr>
      <w:r>
        <w:rPr>
          <w:bCs/>
          <w:b/>
        </w:rPr>
        <w:t xml:space="preserve">Jakarta Specifics Matter:</w:t>
      </w:r>
      <w:r>
        <w:t xml:space="preserve"> </w:t>
      </w:r>
      <w:r>
        <w:t xml:space="preserve">General advice for Indonesia may not suffice. The regulatory enforcement and business culture in Jakarta can differ significantly from other regions like Surabaya or Bandung. Localized knowledge is paramount.</w:t>
      </w:r>
    </w:p>
    <w:p>
      <w:pPr>
        <w:numPr>
          <w:ilvl w:val="0"/>
          <w:numId w:val="1003"/>
        </w:numPr>
        <w:pStyle w:val="Compact"/>
      </w:pPr>
      <w:r>
        <w:rPr>
          <w:bCs/>
          <w:b/>
        </w:rPr>
        <w:t xml:space="preserve">The Lawyer as a Translator:</w:t>
      </w:r>
      <w:r>
        <w:t xml:space="preserve"> </w:t>
      </w:r>
      <w:r>
        <w:t xml:space="preserve">A competent lawyer acts as a translator of intent, ensuring that commercial goals are legally sound within the Indonesian framework without compromising the core values of the international investor.</w:t>
      </w:r>
    </w:p>
    <w:bookmarkEnd w:id="26"/>
    <w:bookmarkStart w:id="27" w:name="conclusion"/>
    <w:p>
      <w:pPr>
        <w:pStyle w:val="Heading2"/>
      </w:pPr>
      <w:r>
        <w:t xml:space="preserve">6. Conclusion</w:t>
      </w:r>
    </w:p>
    <w:p>
      <w:pPr>
        <w:pStyle w:val="FirstParagraph"/>
      </w:pPr>
      <w:r>
        <w:t xml:space="preserve">The case of TechNova Solutions underscores the indispensable value of professional legal counsel in emerging markets. In a bustling metropolis like</w:t>
      </w:r>
      <w:r>
        <w:t xml:space="preserve"> </w:t>
      </w:r>
      <w:r>
        <w:rPr>
          <w:bCs/>
          <w:b/>
        </w:rPr>
        <w:t xml:space="preserve">Indonesia Jakarta</w:t>
      </w:r>
      <w:r>
        <w:t xml:space="preserve">, where regulatory frameworks are dynamic and enforcement is rigorous, the role of a skilled lawyer is transformative.</w:t>
      </w:r>
    </w:p>
    <w:p>
      <w:pPr>
        <w:pStyle w:val="BodyText"/>
      </w:pPr>
      <w:r>
        <w:t xml:space="preserve">For international businesses, engaging a reputable law firm with specific expertise in local corporate law provides more than just legal protection; it offers strategic clarity. As Indonesia continues to strengthen its position in the global economy, the synergy between foreign investment and local legal expertise will remain the cornerstone of sustainable business success. Therefore, when planning expansion into</w:t>
      </w:r>
      <w:r>
        <w:t xml:space="preserve"> </w:t>
      </w:r>
      <w:r>
        <w:rPr>
          <w:bCs/>
          <w:b/>
        </w:rPr>
        <w:t xml:space="preserve">Indonesia Jakarta</w:t>
      </w:r>
      <w:r>
        <w:t xml:space="preserve">, securing top-tier legal representation should be viewed not as an administrative expense, but as a critical investment in long-term operational stability.</w:t>
      </w:r>
    </w:p>
    <w:p>
      <w:r>
        <w:pict>
          <v:rect style="width:0;height:1.5pt" o:hralign="center" o:hrstd="t" o:hr="t"/>
        </w:pict>
      </w:r>
    </w:p>
    <w:p>
      <w:pPr>
        <w:pStyle w:val="FirstParagraph"/>
      </w:pPr>
      <w:r>
        <w:rPr>
          <w:iCs/>
          <w:i/>
        </w:rPr>
        <w:t xml:space="preserve">Disclaimer: This document is for informational purposes only and does not constitute legal advice. Clients should consult with qualified legal professionals in Indonesia for specific case requirements.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Legal Representation in Indonesia Jakarta</dc:title>
  <dc:creator/>
  <dc:language>en</dc:language>
  <cp:keywords/>
  <dcterms:created xsi:type="dcterms:W3CDTF">2026-07-29T03:49:33Z</dcterms:created>
  <dcterms:modified xsi:type="dcterms:W3CDTF">2026-07-29T03:49:33Z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