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Iran,</w:t>
      </w:r>
      <w:r>
        <w:t xml:space="preserve"> </w:t>
      </w:r>
      <w:r>
        <w:t xml:space="preserve">Tehran</w:t>
      </w:r>
    </w:p>
    <w:bookmarkStart w:id="22" w:name="X0a20afd9284fd990476e639ba2da5a12e6c58e0"/>
    <w:p>
      <w:pPr>
        <w:pStyle w:val="Heading1"/>
      </w:pPr>
      <w:r>
        <w:t xml:space="preserve">Navigating Complexity: A Comprehensive Case Study on Legal Counsel in Iran, Tehran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Islamic Republic of Iran</w:t>
      </w:r>
      <w:r>
        <w:br/>
      </w:r>
      <w:r>
        <w:rPr>
          <w:bCs/>
          <w:b/>
        </w:rPr>
        <w:t xml:space="preserve">Focal Point:</w:t>
      </w:r>
      <w:r>
        <w:t xml:space="preserve"> </w:t>
      </w:r>
      <w:r>
        <w:t xml:space="preserve">Tehran Metropolitan Courts and Commercial Registry</w:t>
      </w:r>
      <w:r>
        <w:br/>
      </w:r>
      <w:r>
        <w:br/>
      </w:r>
      <w:r>
        <w:br/>
      </w:r>
      <w:r>
        <w:br/>
      </w:r>
      <w:r>
        <w:br/>
      </w:r>
    </w:p>
    <w:p>
      <w:pPr>
        <w:pStyle w:val="BodyText"/>
      </w:pPr>
      <w:r>
        <w:t xml:space="preserve">The rapid expansion of the Iranian economy in recent decades has created a complex landscape for domestic businesses and international entities seeking to establish a foothold within the country. At the heart of this economic activity lies</w:t>
      </w:r>
      <w:r>
        <w:t xml:space="preserve"> </w:t>
      </w:r>
      <w:r>
        <w:rPr>
          <w:bCs/>
          <w:b/>
        </w:rPr>
        <w:t xml:space="preserve">Iran</w:t>
      </w:r>
      <w:r>
        <w:t xml:space="preserve">, specifically its capital,</w:t>
      </w:r>
      <w:r>
        <w:t xml:space="preserve"> </w:t>
      </w:r>
      <w:r>
        <w:rPr>
          <w:bCs/>
          <w:b/>
        </w:rPr>
        <w:t xml:space="preserve">Tehran</w:t>
      </w:r>
      <w:r>
        <w:t xml:space="preserve">, which serves as the primary hub for commerce, politics, and culture. Within this high-stakes environment, securing a competent and strategic</w:t>
      </w:r>
      <w:r>
        <w:t xml:space="preserve"> </w:t>
      </w:r>
      <w:r>
        <w:rPr>
          <w:iCs/>
          <w:i/>
        </w:rPr>
        <w:t xml:space="preserve">Lawyer</w:t>
      </w:r>
      <w:r>
        <w:t xml:space="preserve"> </w:t>
      </w:r>
      <w:r>
        <w:t xml:space="preserve">is not merely a legal requirement but a critical business imperative. This case study explores the challenges faced by international investors in</w:t>
      </w:r>
      <w:r>
        <w:t xml:space="preserve"> </w:t>
      </w:r>
      <w:r>
        <w:rPr>
          <w:bCs/>
          <w:b/>
        </w:rPr>
        <w:t xml:space="preserve">Tehran</w:t>
      </w:r>
      <w:r>
        <w:t xml:space="preserve">, the specific role of local legal counsel, and the outcomes of effective legal navigation in this unique jurisdiction.</w:t>
      </w:r>
    </w:p>
    <w:p>
      <w:pPr>
        <w:pStyle w:val="BodyText"/>
      </w:pPr>
      <w:r>
        <w:br/>
      </w:r>
      <w:r>
        <w:t xml:space="preserve">The Challenge: Regulatory Volatility and Cultural Nuances</w:t>
      </w:r>
      <w:r>
        <w:br/>
      </w:r>
      <w:r>
        <w:t xml:space="preserve">The primary challenge for foreign entities entering</w:t>
      </w:r>
      <w:r>
        <w:t xml:space="preserve"> </w:t>
      </w:r>
      <w:r>
        <w:rPr>
          <w:bCs/>
          <w:b/>
        </w:rPr>
        <w:t xml:space="preserve">Iran</w:t>
      </w:r>
      <w:r>
        <w:t xml:space="preserve"> </w:t>
      </w:r>
      <w:r>
        <w:t xml:space="preserve">is understanding the dual-layered legal system. While civil codes are derived from Roman law traditions, they operate within the framework of Islamic jurisprudence. In</w:t>
      </w:r>
      <w:r>
        <w:t xml:space="preserve"> </w:t>
      </w:r>
      <w:r>
        <w:rPr>
          <w:bCs/>
          <w:b/>
        </w:rPr>
        <w:t xml:space="preserve">Tehran</w:t>
      </w:r>
      <w:r>
        <w:t xml:space="preserve">, where the majority of federal courts and commercial tribunals are located, legal proceedings can be dense with procedural intricacies that differ significantly from Western standards.</w:t>
      </w:r>
      <w:r>
        <w:br/>
      </w:r>
      <w:r>
        <w:br/>
      </w:r>
      <w:r>
        <w:t xml:space="preserve">A mid-sized European logistics company sought to establish a joint venture in</w:t>
      </w:r>
      <w:r>
        <w:t xml:space="preserve"> </w:t>
      </w:r>
      <w:r>
        <w:rPr>
          <w:bCs/>
          <w:b/>
        </w:rPr>
        <w:t xml:space="preserve">Tehran</w:t>
      </w:r>
      <w:r>
        <w:t xml:space="preserve">. Their initial attempts failed due to misunderstandings regarding corporate governance requirements and foreign investment regulations. The lack of specialized legal counsel led to delays in licensing, misinterpretation of local labor laws, and potential violations of compliance standards related to international sanctions.</w:t>
      </w:r>
      <w:r>
        <w:br/>
      </w:r>
      <w:r>
        <w:br/>
      </w:r>
      <w:r>
        <w:t xml:space="preserve">It was at this juncture that the engagement with a seasoned</w:t>
      </w:r>
      <w:r>
        <w:t xml:space="preserve"> </w:t>
      </w:r>
      <w:r>
        <w:rPr>
          <w:iCs/>
          <w:i/>
        </w:rPr>
        <w:t xml:space="preserve">Lawyer</w:t>
      </w:r>
      <w:r>
        <w:t xml:space="preserve"> </w:t>
      </w:r>
      <w:r>
        <w:t xml:space="preserve">became pivotal. This individual was not only well-versed in Iranian statutory law but also deeply familiar with the bureaucratic mechanisms of</w:t>
      </w:r>
      <w:r>
        <w:t xml:space="preserve"> </w:t>
      </w:r>
      <w:r>
        <w:rPr>
          <w:bCs/>
          <w:b/>
        </w:rPr>
        <w:t xml:space="preserve">Tehran</w:t>
      </w:r>
      <w:r>
        <w:t xml:space="preserve">'s administrative bodies.</w:t>
      </w:r>
    </w:p>
    <w:bookmarkStart w:id="20" w:name="X2d8424db94f06a51d7252de9b8992e6b0bb51a4"/>
    <w:p>
      <w:pPr>
        <w:pStyle w:val="Heading2"/>
      </w:pPr>
      <w:r>
        <w:t xml:space="preserve">The Role of Specialized Legal Counsel</w:t>
      </w:r>
      <w:r>
        <w:br/>
      </w:r>
      <w:r>
        <w:br/>
      </w:r>
      <w:r>
        <w:t xml:space="preserve">In this scenario, the appointed</w:t>
      </w:r>
      <w:r>
        <w:t xml:space="preserve"> </w:t>
      </w:r>
      <w:r>
        <w:rPr>
          <w:iCs/>
          <w:i/>
        </w:rPr>
        <w:t xml:space="preserve">Lawyer</w:t>
      </w:r>
      <w:r>
        <w:t xml:space="preserve"> </w:t>
      </w:r>
      <w:r>
        <w:t xml:space="preserve">played three critical roles:</w:t>
      </w:r>
      <w:r>
        <w:t xml:space="preserve"> </w:t>
      </w:r>
      <w:r>
        <w:t xml:space="preserve">1. Regulatory Navigation: The</w:t>
      </w:r>
      <w:r>
        <w:t xml:space="preserve"> </w:t>
      </w:r>
      <w:r>
        <w:rPr>
          <w:iCs/>
          <w:i/>
        </w:rPr>
        <w:t xml:space="preserve">Lawyer</w:t>
      </w:r>
      <w:r>
        <w:t xml:space="preserve"> </w:t>
      </w:r>
      <w:r>
        <w:t xml:space="preserve">helped the client navigate the Ministry of Economic Affairs and Finance requirements specific to</w:t>
      </w:r>
      <w:r>
        <w:t xml:space="preserve"> </w:t>
      </w:r>
      <w:r>
        <w:rPr>
          <w:bCs/>
          <w:b/>
        </w:rPr>
        <w:t xml:space="preserve">Iran</w:t>
      </w:r>
      <w:r>
        <w:t xml:space="preserve">'s current economic climate. This involved securing necessary approvals for foreign equity ownership.</w:t>
      </w:r>
      <w:r>
        <w:br/>
      </w:r>
      <w:r>
        <w:br/>
      </w:r>
      <w:r>
        <w:t xml:space="preserve">2. Contractual Localization: Standard international contracts were often unenforceable or ambiguous in</w:t>
      </w:r>
      <w:r>
        <w:t xml:space="preserve"> </w:t>
      </w:r>
      <w:r>
        <w:rPr>
          <w:bCs/>
          <w:b/>
        </w:rPr>
        <w:t xml:space="preserve">Tehran</w:t>
      </w:r>
      <w:r>
        <w:t xml:space="preserve">'s courts. The</w:t>
      </w:r>
      <w:r>
        <w:t xml:space="preserve"> </w:t>
      </w:r>
      <w:r>
        <w:rPr>
          <w:iCs/>
          <w:i/>
        </w:rPr>
        <w:t xml:space="preserve">Lawyer</w:t>
      </w:r>
      <w:r>
        <w:t xml:space="preserve"> </w:t>
      </w:r>
      <w:r>
        <w:t xml:space="preserve">drafted agreements that complied with local civil codes while protecting the foreign entity's interests, ensuring clauses on dispute resolution and arbitration were legally sound within the Iranian context.</w:t>
      </w:r>
      <w:r>
        <w:br/>
      </w:r>
      <w:r>
        <w:br/>
      </w:r>
      <w:r>
        <w:t xml:space="preserve">3. Cultural Mediation: Beyond legal theory, a successful</w:t>
      </w:r>
      <w:r>
        <w:t xml:space="preserve"> </w:t>
      </w:r>
      <w:r>
        <w:rPr>
          <w:iCs/>
          <w:i/>
        </w:rPr>
        <w:t xml:space="preserve">Lawyer</w:t>
      </w:r>
      <w:r>
        <w:t xml:space="preserve"> </w:t>
      </w:r>
      <w:r>
        <w:t xml:space="preserve">in</w:t>
      </w:r>
      <w:r>
        <w:t xml:space="preserve"> </w:t>
      </w:r>
      <w:r>
        <w:rPr>
          <w:bCs/>
          <w:b/>
        </w:rPr>
        <w:t xml:space="preserve">Tehran</w:t>
      </w:r>
      <w:r>
        <w:t xml:space="preserve"> </w:t>
      </w:r>
      <w:r>
        <w:t xml:space="preserve">acts as a cultural bridge. They facilitated negotiations between the European partners and local Iranian stakeholders, ensuring that business practices respected local norms while maintaining professional integrity.</w:t>
      </w:r>
    </w:p>
    <w:bookmarkEnd w:id="20"/>
    <w:bookmarkStart w:id="21" w:name="Xee85cdafc74ed0615550853e4af5aef4c5c8d3c"/>
    <w:p>
      <w:pPr>
        <w:pStyle w:val="Heading2"/>
      </w:pPr>
      <w:r>
        <w:t xml:space="preserve">The Resolution: Successful Market Entry</w:t>
      </w:r>
      <w:r>
        <w:br/>
      </w:r>
      <w:r>
        <w:br/>
      </w:r>
      <w:r>
        <w:t xml:space="preserve">Through the dedicated efforts of the</w:t>
      </w:r>
      <w:r>
        <w:t xml:space="preserve"> </w:t>
      </w:r>
      <w:r>
        <w:rPr>
          <w:iCs/>
          <w:i/>
        </w:rPr>
        <w:t xml:space="preserve">Lawyer</w:t>
      </w:r>
      <w:r>
        <w:t xml:space="preserve">, the joint venture was successfully registered in</w:t>
      </w:r>
      <w:r>
        <w:t xml:space="preserve"> </w:t>
      </w:r>
      <w:r>
        <w:rPr>
          <w:bCs/>
          <w:b/>
        </w:rPr>
        <w:t xml:space="preserve">Tehran</w:t>
      </w:r>
      <w:r>
        <w:t xml:space="preserve">. The process, which initially seemed insurmountable due to regulatory bottlenecks, was completed within six months. The</w:t>
      </w:r>
      <w:r>
        <w:t xml:space="preserve"> </w:t>
      </w:r>
      <w:r>
        <w:rPr>
          <w:iCs/>
          <w:i/>
        </w:rPr>
        <w:t xml:space="preserve">Lawyer</w:t>
      </w:r>
      <w:r>
        <w:t xml:space="preserve">'s proactive approach included:</w:t>
      </w:r>
      <w:r>
        <w:br/>
      </w:r>
    </w:p>
    <w:p>
      <w:pPr>
        <w:pStyle w:val="FirstParagraph"/>
      </w:pPr>
      <w:r>
        <w:br/>
      </w:r>
      <w:r>
        <w:t xml:space="preserve">- Pre-emptive compliance audits that identified potential risks before they materialized into legal disputes.</w:t>
      </w:r>
      <w:r>
        <w:br/>
      </w:r>
      <w:r>
        <w:br/>
      </w:r>
      <w:r>
        <w:t xml:space="preserve">- Direct liaison with court officials in</w:t>
      </w:r>
      <w:r>
        <w:t xml:space="preserve"> </w:t>
      </w:r>
      <w:r>
        <w:rPr>
          <w:bCs/>
          <w:b/>
        </w:rPr>
        <w:t xml:space="preserve">Tehran</w:t>
      </w:r>
      <w:r>
        <w:t xml:space="preserve">, streamlining the approval process for import licenses and operational permits.</w:t>
      </w:r>
      <w:r>
        <w:br/>
      </w:r>
      <w:r>
        <w:br/>
      </w:r>
      <w:r>
        <w:t xml:space="preserve">- Training the client's local staff on Iranian labor laws, thereby reducing the risk of employment-related litigation.</w:t>
      </w:r>
    </w:p>
    <w:p>
      <w:pPr>
        <w:pStyle w:val="BodyText"/>
      </w:pPr>
      <w:r>
        <w:t xml:space="preserve">Conclusion: The Importance of Local Expertise</w:t>
      </w:r>
      <w:r>
        <w:br/>
      </w:r>
      <w:r>
        <w:br/>
      </w:r>
      <w:r>
        <w:t xml:space="preserve">This case study underscores that operating in</w:t>
      </w:r>
      <w:r>
        <w:t xml:space="preserve"> </w:t>
      </w:r>
      <w:r>
        <w:rPr>
          <w:bCs/>
          <w:b/>
        </w:rPr>
        <w:t xml:space="preserve">Iran</w:t>
      </w:r>
      <w:r>
        <w:t xml:space="preserve">, particularly in</w:t>
      </w:r>
      <w:r>
        <w:t xml:space="preserve"> </w:t>
      </w:r>
      <w:r>
        <w:rPr>
          <w:bCs/>
          <w:b/>
        </w:rPr>
        <w:t xml:space="preserve">Tehran</w:t>
      </w:r>
      <w:r>
        <w:t xml:space="preserve">, requires more than just financial capital; it demands intellectual and legal capital. A qualified</w:t>
      </w:r>
      <w:r>
        <w:t xml:space="preserve"> </w:t>
      </w:r>
      <w:r>
        <w:rPr>
          <w:iCs/>
          <w:i/>
        </w:rPr>
        <w:t xml:space="preserve">Lawyer</w:t>
      </w:r>
      <w:r>
        <w:t xml:space="preserve"> </w:t>
      </w:r>
      <w:r>
        <w:t xml:space="preserve">serves as the guardian of a business's legitimacy and sustainability in this region. The ability to interpret laws through the lens of local practice, combined with an understanding of the geopolitical context, is what distinguishes successful market entrants from those who struggle.</w:t>
      </w:r>
      <w:r>
        <w:br/>
      </w:r>
      <w:r>
        <w:br/>
      </w:r>
      <w:r>
        <w:t xml:space="preserve">For any entity considering engagement in</w:t>
      </w:r>
      <w:r>
        <w:t xml:space="preserve"> </w:t>
      </w:r>
      <w:r>
        <w:rPr>
          <w:bCs/>
          <w:b/>
        </w:rPr>
        <w:t xml:space="preserve">Iran</w:t>
      </w:r>
      <w:r>
        <w:t xml:space="preserve">, finding a</w:t>
      </w:r>
      <w:r>
        <w:t xml:space="preserve"> </w:t>
      </w:r>
      <w:r>
        <w:rPr>
          <w:iCs/>
          <w:i/>
        </w:rPr>
        <w:t xml:space="preserve">Lawyer</w:t>
      </w:r>
      <w:r>
        <w:t xml:space="preserve"> </w:t>
      </w:r>
      <w:r>
        <w:t xml:space="preserve">with specific experience in</w:t>
      </w:r>
      <w:r>
        <w:t xml:space="preserve"> </w:t>
      </w:r>
      <w:r>
        <w:rPr>
          <w:bCs/>
          <w:b/>
        </w:rPr>
        <w:t xml:space="preserve">Tehran</w:t>
      </w:r>
      <w:r>
        <w:t xml:space="preserve">'s legal ecosystem is not optional—it is essential. The complexity of the Iranian legal system, influenced by both international pressures and domestic judicial traditions, necessitates counsel that can offer nuanced, strategic advice. This case demonstrates that when a skilled</w:t>
      </w:r>
      <w:r>
        <w:t xml:space="preserve"> </w:t>
      </w:r>
      <w:r>
        <w:rPr>
          <w:iCs/>
          <w:i/>
        </w:rPr>
        <w:t xml:space="preserve">Lawyer</w:t>
      </w:r>
      <w:r>
        <w:t xml:space="preserve"> </w:t>
      </w:r>
      <w:r>
        <w:t xml:space="preserve">leverages their knowledge of</w:t>
      </w:r>
      <w:r>
        <w:t xml:space="preserve"> </w:t>
      </w:r>
      <w:r>
        <w:rPr>
          <w:bCs/>
          <w:b/>
        </w:rPr>
        <w:t xml:space="preserve">Tehran</w:t>
      </w:r>
      <w:r>
        <w:t xml:space="preserve">'s specific regulatory environment within the broader context of</w:t>
      </w:r>
      <w:r>
        <w:t xml:space="preserve"> </w:t>
      </w:r>
      <w:r>
        <w:rPr>
          <w:bCs/>
          <w:b/>
        </w:rPr>
        <w:t xml:space="preserve">Iran</w:t>
      </w:r>
      <w:r>
        <w:t xml:space="preserve">'s legal framework, business objectives are not only achieved but protected against unforeseen legal challenges.</w:t>
      </w:r>
      <w:r>
        <w:br/>
      </w:r>
      <w:r>
        <w:br/>
      </w:r>
      <w:r>
        <w:t xml:space="preserve">In summary, the synergy between strategic business planning and expert local legal counsel in</w:t>
      </w:r>
      <w:r>
        <w:t xml:space="preserve"> </w:t>
      </w:r>
      <w:r>
        <w:rPr>
          <w:iCs/>
          <w:i/>
        </w:rPr>
        <w:t xml:space="preserve">Tehran</w:t>
      </w:r>
      <w:r>
        <w:t xml:space="preserve">,</w:t>
      </w:r>
      <w:r>
        <w:t xml:space="preserve"> </w:t>
      </w:r>
      <w:r>
        <w:rPr>
          <w:iCs/>
          <w:i/>
        </w:rPr>
        <w:t xml:space="preserve">Iran</w:t>
      </w:r>
      <w:r>
        <w:t xml:space="preserve">, creates a robust foundation for long-term success. The</w:t>
      </w:r>
      <w:r>
        <w:t xml:space="preserve"> </w:t>
      </w:r>
      <w:r>
        <w:rPr>
          <w:iCs/>
          <w:i/>
        </w:rPr>
        <w:t xml:space="preserve">Lawyer</w:t>
      </w:r>
      <w:r>
        <w:t xml:space="preserve"> </w:t>
      </w:r>
      <w:r>
        <w:t xml:space="preserve">is the key that unlocks compliance, fosters trust with local authorities, and ensures that international ventures can operate seamlessly within the vibrant yet complex legal landscape of</w:t>
      </w:r>
      <w:r>
        <w:t xml:space="preserve"> </w:t>
      </w:r>
      <w:r>
        <w:rPr>
          <w:bCs/>
          <w:b/>
        </w:rPr>
        <w:t xml:space="preserve">Tehran</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Iran, Tehran</dc:title>
  <dc:creator/>
  <dc:language>en</dc:language>
  <cp:keywords/>
  <dcterms:created xsi:type="dcterms:W3CDTF">2026-07-29T05:43:52Z</dcterms:created>
  <dcterms:modified xsi:type="dcterms:W3CDTF">2026-07-29T05:43:52Z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