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History:</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Legal</w:t>
      </w:r>
      <w:r>
        <w:t xml:space="preserve"> </w:t>
      </w:r>
      <w:r>
        <w:t xml:space="preserve">Practice</w:t>
      </w:r>
      <w:r>
        <w:t xml:space="preserve"> </w:t>
      </w:r>
      <w:r>
        <w:t xml:space="preserve">in</w:t>
      </w:r>
      <w:r>
        <w:t xml:space="preserve"> </w:t>
      </w:r>
      <w:r>
        <w:t xml:space="preserve">Israel,</w:t>
      </w:r>
      <w:r>
        <w:t xml:space="preserve"> </w:t>
      </w:r>
      <w:r>
        <w:t xml:space="preserve">Jerusalem</w:t>
      </w:r>
    </w:p>
    <w:bookmarkStart w:id="29" w:name="X7709084e76321d8b0a70f2938381e54ca11e153"/>
    <w:p>
      <w:pPr>
        <w:pStyle w:val="Heading1"/>
      </w:pPr>
      <w:r>
        <w:t xml:space="preserve">Navigating Complexity in the Holy City: A Comprehensive Case Study on Legal Representation in Israel, Jerusalem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Israel – Jerusalem District</w:t>
      </w:r>
      <w:r>
        <w:br/>
      </w:r>
      <w:r>
        <w:rPr>
          <w:bCs/>
          <w:b/>
        </w:rPr>
        <w:t xml:space="preserve">Subject:</w:t>
      </w:r>
      <w:r>
        <w:t xml:space="preserve"> </w:t>
      </w:r>
      <w:r>
        <w:t xml:space="preserve">Strategic Legal Advocacy and Cultural Nuance in High-Stakes Litigation</w:t>
      </w:r>
    </w:p>
    <w:p>
      <w:pPr>
        <w:pStyle w:val="BodyText"/>
      </w:pPr>
      <w:r>
        <w:t xml:space="preserve">Note to Reader:Lawyer within the unique legal and sociopolitical framework of</w:t>
      </w:r>
      <w:r>
        <w:t xml:space="preserve"> </w:t>
      </w:r>
      <w:r>
        <w:rPr>
          <w:bCs/>
          <w:b/>
        </w:rPr>
        <w:t xml:space="preserve">Israel, Jerusalem</w:t>
      </w:r>
      <w:r>
        <w:t xml:space="preserve">. It highlights the necessity for specialized knowledge, cultural sensitivity, and procedural expertise.</w:t>
      </w:r>
    </w:p>
    <w:bookmarkStart w:id="20" w:name="X4a423ec5bd458cda19b55493ec31fc5f06d3486"/>
    <w:p>
      <w:pPr>
        <w:pStyle w:val="Heading2"/>
      </w:pPr>
      <w:r>
        <w:t xml:space="preserve">1. Introduction: The Unique Legal Landscape of Israel, Jerusalem</w:t>
      </w:r>
    </w:p>
    <w:p>
      <w:pPr>
        <w:pStyle w:val="FirstParagraph"/>
      </w:pPr>
      <w:r>
        <w:t xml:space="preserve">To understand the value of legal representation in this region, one must first appreciate the intricate tapestry that is the judicial system in</w:t>
      </w:r>
      <w:r>
        <w:t xml:space="preserve"> </w:t>
      </w:r>
      <w:r>
        <w:rPr>
          <w:bCs/>
          <w:b/>
        </w:rPr>
        <w:t xml:space="preserve">Israel, Jerusalem</w:t>
      </w:r>
      <w:r>
        <w:t xml:space="preserve">. Unlike many Western jurisdictions, Israel operates under a mixed legal system. It draws heavily from British common law principles inherited from the Mandatory period, yet it is deeply rooted in Jewish religious law (Halakha) for personal status matters such as marriage and divorce. Furthermore, Ottoman land laws and British regulations still influence property rights in certain areas of</w:t>
      </w:r>
      <w:r>
        <w:t xml:space="preserve"> </w:t>
      </w:r>
      <w:r>
        <w:rPr>
          <w:bCs/>
          <w:b/>
        </w:rPr>
        <w:t xml:space="preserve">Israel, Jerusalem</w:t>
      </w:r>
      <w:r>
        <w:t xml:space="preserve">, creating a legal labyrinth that is difficult to navigate without professional guidance.</w:t>
      </w:r>
    </w:p>
    <w:p>
      <w:pPr>
        <w:pStyle w:val="BodyText"/>
      </w:pPr>
      <w:r>
        <w:rPr>
          <w:bCs/>
          <w:b/>
        </w:rPr>
        <w:t xml:space="preserve">Jerusalem</w:t>
      </w:r>
      <w:r>
        <w:t xml:space="preserve">, in particular, holds a distinct position. It is the capital of the state and houses the Supreme Court, along with various specialized courts. However, it is also divided into East Jerusalem (occupied territory under international law but annexed by Israel) and West Jerusalem (the municipal core). This division creates dual legal realities for residents and businesses. A</w:t>
      </w:r>
      <w:r>
        <w:t xml:space="preserve"> </w:t>
      </w:r>
      <w:hyperlink w:anchor="Xa39a3ee5e6b4b0d3255bfef95601890afd80709">
        <w:r>
          <w:rPr>
            <w:rStyle w:val="Hyperlink"/>
          </w:rPr>
          <w:t xml:space="preserve">Lawyer</w:t>
        </w:r>
      </w:hyperlink>
      <w:r>
        <w:t xml:space="preserve"> </w:t>
      </w:r>
      <w:r>
        <w:t xml:space="preserve">practicing in this jurisdiction must be proficient not only in Israeli statutory law but also in the specific administrative ordinances that govern East Jerusalem, where different planning, zoning, and residency regulations often apply compared to West Jerusalem.</w:t>
      </w:r>
    </w:p>
    <w:bookmarkEnd w:id="20"/>
    <w:bookmarkStart w:id="21" w:name="X912752a469d1ba6cbab46fb38e4513cd6f6caae"/>
    <w:p>
      <w:pPr>
        <w:pStyle w:val="Heading2"/>
      </w:pPr>
      <w:r>
        <w:t xml:space="preserve">2. Case Profile: The "Old City" Property Dispute</w:t>
      </w:r>
    </w:p>
    <w:p>
      <w:pPr>
        <w:pStyle w:val="FirstParagraph"/>
      </w:pPr>
      <w:r>
        <w:rPr>
          <w:bCs/>
          <w:b/>
        </w:rPr>
        <w:t xml:space="preserve">The Client:</w:t>
      </w:r>
    </w:p>
    <w:p>
      <w:pPr>
        <w:pStyle w:val="BodyText"/>
      </w:pPr>
      <w:r>
        <w:t xml:space="preserve">The case involved a family of international investors seeking to purchase a historic commercial property in the Jewish Quarter of the Old City in</w:t>
      </w:r>
      <w:r>
        <w:t xml:space="preserve"> </w:t>
      </w:r>
      <w:r>
        <w:rPr>
          <w:bCs/>
          <w:b/>
        </w:rPr>
        <w:t xml:space="preserve">Israel, Jerusalem</w:t>
      </w:r>
      <w:r>
        <w:t xml:space="preserve">. Their goal was to restore the building for hospitality use. The transaction seemed straightforward on paper; however, hidden within the title deeds were decades-old encumbrances and conflicting claims from multiple parties, including private individuals and municipal authorities.</w:t>
      </w:r>
    </w:p>
    <w:p>
      <w:pPr>
        <w:pStyle w:val="BodyText"/>
      </w:pPr>
      <w:r>
        <w:rPr>
          <w:bCs/>
          <w:b/>
        </w:rPr>
        <w:t xml:space="preserve">The Challenge:</w:t>
      </w:r>
    </w:p>
    <w:p>
      <w:pPr>
        <w:pStyle w:val="BodyText"/>
      </w:pPr>
      <w:r>
        <w:t xml:space="preserve">The primary obstacle was not merely legal but deeply cultural and administrative. The property had been passed down through generations via oral family agreements common in traditional Arab neighborhoods adjacent to the Old City. When the owners decided to sell, they encountered resistance from extended family members who claimed customary rights based on long-term occupancy, even if they did not hold formal title deeds recognized by Israeli civil courts. Additionally, the building was flagged for structural violations by the Jerusalem Municipality’s Engineering Department.</w:t>
      </w:r>
    </w:p>
    <w:p>
      <w:pPr>
        <w:pStyle w:val="BodyText"/>
      </w:pPr>
      <w:r>
        <w:t xml:space="preserve">Engaging a generic</w:t>
      </w:r>
      <w:r>
        <w:t xml:space="preserve"> </w:t>
      </w:r>
      <w:hyperlink w:anchor="Xa39a3ee5e6b4b0d3255bfef95601890afd80709">
        <w:r>
          <w:rPr>
            <w:rStyle w:val="Hyperlink"/>
          </w:rPr>
          <w:t xml:space="preserve">Lawyer</w:t>
        </w:r>
      </w:hyperlink>
      <w:r>
        <w:t xml:space="preserve"> </w:t>
      </w:r>
      <w:r>
        <w:t xml:space="preserve">with no specific experience in</w:t>
      </w:r>
      <w:r>
        <w:t xml:space="preserve"> </w:t>
      </w:r>
      <w:r>
        <w:rPr>
          <w:bCs/>
          <w:b/>
        </w:rPr>
        <w:t xml:space="preserve">Israel, Jerusalem</w:t>
      </w:r>
      <w:r>
        <w:t xml:space="preserve">'s real estate sector would have resulted in significant financial loss and prolonged litigation. The case required a specialist who understood the intersection of Israeli property law, municipal zoning regulations, and the nuanced social dynamics of East Jerusalem.</w:t>
      </w:r>
    </w:p>
    <w:bookmarkEnd w:id="21"/>
    <w:bookmarkStart w:id="25" w:name="strategic-intervention-by-legal-counsel"/>
    <w:p>
      <w:pPr>
        <w:pStyle w:val="Heading2"/>
      </w:pPr>
      <w:r>
        <w:t xml:space="preserve">3. Strategic Intervention by Legal Counsel</w:t>
      </w:r>
    </w:p>
    <w:p>
      <w:pPr>
        <w:pStyle w:val="FirstParagraph"/>
      </w:pPr>
      <w:r>
        <w:t xml:space="preserve">The retained legal counsel adopted a multi-faceted strategy to resolve the dispute efficiently. The approach was tailored specifically to the context of</w:t>
      </w:r>
      <w:r>
        <w:t xml:space="preserve"> </w:t>
      </w:r>
      <w:r>
        <w:rPr>
          <w:bCs/>
          <w:b/>
        </w:rPr>
        <w:t xml:space="preserve">Israel, Jerusalem</w:t>
      </w:r>
      <w:r>
        <w:t xml:space="preserve">.</w:t>
      </w:r>
    </w:p>
    <w:bookmarkStart w:id="22" w:name="X1574d51d220c99aad3f4cd62194f08f128da3bb"/>
    <w:p>
      <w:pPr>
        <w:pStyle w:val="Heading3"/>
      </w:pPr>
      <w:r>
        <w:t xml:space="preserve">A. Navigating the Bureaucracy of Israel, Jerusalem</w:t>
      </w:r>
    </w:p>
    <w:p>
      <w:pPr>
        <w:pStyle w:val="FirstParagraph"/>
      </w:pPr>
      <w:r>
        <w:t xml:space="preserve">The first step involved a comprehensive due diligence audit in coordination with the Israel Land Authority and the Jerusalem Municipality. In</w:t>
      </w:r>
      <w:r>
        <w:t xml:space="preserve"> </w:t>
      </w:r>
      <w:r>
        <w:rPr>
          <w:bCs/>
          <w:b/>
        </w:rPr>
        <w:t xml:space="preserve">Israel, Jerusalem</w:t>
      </w:r>
      <w:r>
        <w:t xml:space="preserve">, property registration can be fragmented between different land registries (Tabu) depending on when and where the deed was originally issued. The lawyer identified that while the Western portion of the building was registered under Israeli law, parts of it fell under a unique "Waft" (religious endowment) status. This distinction required specialized negotiation skills and knowledge of religious court precedents alongside civil court procedures.</w:t>
      </w:r>
    </w:p>
    <w:bookmarkEnd w:id="22"/>
    <w:bookmarkStart w:id="23" w:name="b.-mediation-over-litigation"/>
    <w:p>
      <w:pPr>
        <w:pStyle w:val="Heading3"/>
      </w:pPr>
      <w:r>
        <w:t xml:space="preserve">B. Mediation Over Litigation</w:t>
      </w:r>
    </w:p>
    <w:p>
      <w:pPr>
        <w:pStyle w:val="FirstParagraph"/>
      </w:pPr>
      <w:r>
        <w:t xml:space="preserve">Given the familial nature of the dispute, litigation in Israeli courts would have been adversarial, expensive, and slow. The lawyer proposed a mediation process involving respected community leaders in</w:t>
      </w:r>
      <w:r>
        <w:t xml:space="preserve"> </w:t>
      </w:r>
      <w:r>
        <w:rPr>
          <w:bCs/>
          <w:b/>
        </w:rPr>
        <w:t xml:space="preserve">Jerusalem</w:t>
      </w:r>
      <w:r>
        <w:t xml:space="preserve">. By leveraging local connections and understanding the concept of "peaceful settlement" (Sulam Shalom) prevalent in Jewish legal tradition as well as Arab customary law, the counsel facilitated a compromise. Extended family members were offered long-term lease agreements rather than ownership claims, allowing the investors to proceed with their purchase while preserving face and economic security for the relatives.</w:t>
      </w:r>
    </w:p>
    <w:bookmarkEnd w:id="23"/>
    <w:bookmarkStart w:id="24" w:name="c.-regulatory-compliance-and-zoning"/>
    <w:p>
      <w:pPr>
        <w:pStyle w:val="Heading3"/>
      </w:pPr>
      <w:r>
        <w:t xml:space="preserve">C. Regulatory Compliance and Zoning</w:t>
      </w:r>
    </w:p>
    <w:p>
      <w:pPr>
        <w:pStyle w:val="FirstParagraph"/>
      </w:pPr>
      <w:r>
        <w:t xml:space="preserve">Simultaneously, the legal team worked with urban planners to regularize the building’s status. In</w:t>
      </w:r>
      <w:r>
        <w:t xml:space="preserve"> </w:t>
      </w:r>
      <w:r>
        <w:rPr>
          <w:bCs/>
          <w:b/>
        </w:rPr>
        <w:t xml:space="preserve">Jerusalem</w:t>
      </w:r>
      <w:r>
        <w:t xml:space="preserve">, obtaining permits for restoration in historic areas is notoriously difficult due to strict preservation laws enforced by the Israel Antiquities Authority. The lawyer coordinated closely with these bodies, submitting detailed architectural plans that respected heritage guidelines, thereby avoiding fines and construction halts.</w:t>
      </w:r>
    </w:p>
    <w:bookmarkEnd w:id="24"/>
    <w:bookmarkEnd w:id="25"/>
    <w:bookmarkStart w:id="26" w:name="outcome-and-results"/>
    <w:p>
      <w:pPr>
        <w:pStyle w:val="Heading2"/>
      </w:pPr>
      <w:r>
        <w:t xml:space="preserve">4. Outcome and Results</w:t>
      </w:r>
    </w:p>
    <w:p>
      <w:pPr>
        <w:pStyle w:val="FirstParagraph"/>
      </w:pPr>
      <w:r>
        <w:t xml:space="preserve">The case concluded successfully after an eighteen-month period. The client secured clear title to the property, resolved all familial disputes through a binding mediation agreement, and obtained the necessary municipal permits for restoration. The final cost of legal services was significantly lower than what would have been incurred had the matter proceeded to trial in Israeli courts. More importantly, the client avoided potential boycotts or social ostracization within local communities by handling the transition with cultural sensitivity.</w:t>
      </w:r>
    </w:p>
    <w:bookmarkEnd w:id="26"/>
    <w:bookmarkStart w:id="27" w:name="Xe4c0b33f8b16d93e96f7af89383711e24fddcd4"/>
    <w:p>
      <w:pPr>
        <w:pStyle w:val="Heading2"/>
      </w:pPr>
      <w:r>
        <w:t xml:space="preserve">5. Key Takeaways for Clients Seeking a Lawyer in Israel, Jerusalem</w:t>
      </w:r>
    </w:p>
    <w:p>
      <w:pPr>
        <w:pStyle w:val="FirstParagraph"/>
      </w:pPr>
      <w:r>
        <w:t xml:space="preserve">This case study underscores several critical lessons for anyone requiring legal services in this region:</w:t>
      </w:r>
    </w:p>
    <w:p>
      <w:pPr>
        <w:numPr>
          <w:ilvl w:val="0"/>
          <w:numId w:val="1001"/>
        </w:numPr>
        <w:pStyle w:val="Compact"/>
      </w:pPr>
      <w:r>
        <w:rPr>
          <w:bCs/>
          <w:b/>
        </w:rPr>
        <w:t xml:space="preserve">Jurisdictional Specificity is Vital:</w:t>
      </w:r>
      <w:r>
        <w:t xml:space="preserve"> </w:t>
      </w:r>
      <w:r>
        <w:t xml:space="preserve">A generalist attorney may lack the nuanced understanding of the dual systems (Civil and Religious) and the specific municipal codes of</w:t>
      </w:r>
      <w:r>
        <w:t xml:space="preserve"> </w:t>
      </w:r>
      <w:r>
        <w:rPr>
          <w:bCs/>
          <w:b/>
        </w:rPr>
        <w:t xml:space="preserve">Jerusalem</w:t>
      </w:r>
      <w:r>
        <w:t xml:space="preserve">. One must seek a lawyer with a proven track record in Israeli real estate and family law.</w:t>
      </w:r>
    </w:p>
    <w:p>
      <w:pPr>
        <w:numPr>
          <w:ilvl w:val="0"/>
          <w:numId w:val="1001"/>
        </w:numPr>
        <w:pStyle w:val="Compact"/>
      </w:pPr>
      <w:r>
        <w:rPr>
          <w:bCs/>
          <w:b/>
        </w:rPr>
        <w:t xml:space="preserve">Cultural Competence:</w:t>
      </w:r>
      <w:r>
        <w:t xml:space="preserve"> </w:t>
      </w:r>
      <w:r>
        <w:t xml:space="preserve">In</w:t>
      </w:r>
      <w:r>
        <w:t xml:space="preserve"> </w:t>
      </w:r>
      <w:r>
        <w:rPr>
          <w:bCs/>
          <w:b/>
        </w:rPr>
        <w:t xml:space="preserve">Israel, Jerusalem</w:t>
      </w:r>
      <w:r>
        <w:t xml:space="preserve">, law does not exist in a vacuum. Social norms, religious sensitivities, and historical contexts heavily influence legal outcomes. A successful lawyer acts as both a legal advocate and a cultural mediator.</w:t>
      </w:r>
    </w:p>
    <w:p>
      <w:pPr>
        <w:numPr>
          <w:ilvl w:val="0"/>
          <w:numId w:val="1001"/>
        </w:numPr>
        <w:pStyle w:val="Compact"/>
      </w:pPr>
      <w:r>
        <w:rPr>
          <w:bCs/>
          <w:b/>
        </w:rPr>
        <w:t xml:space="preserve">Navigating East vs. West:</w:t>
      </w:r>
      <w:r>
        <w:t xml:space="preserve"> </w:t>
      </w:r>
      <w:r>
        <w:t xml:space="preserve">The distinction between East and West Jerusalem is not just geographical but legal. Understanding which jurisdiction applies to a specific dispute is crucial for selecting the correct court system in Israel.</w:t>
      </w:r>
    </w:p>
    <w:p>
      <w:pPr>
        <w:numPr>
          <w:ilvl w:val="0"/>
          <w:numId w:val="1001"/>
        </w:numPr>
        <w:pStyle w:val="Compact"/>
      </w:pPr>
      <w:r>
        <w:rPr>
          <w:bCs/>
          <w:b/>
        </w:rPr>
        <w:t xml:space="preserve">Proactive Risk Management:</w:t>
      </w:r>
      <w:r>
        <w:t xml:space="preserve"> </w:t>
      </w:r>
      <w:r>
        <w:t xml:space="preserve">Rather than reacting to lawsuits, a proactive lawyer in</w:t>
      </w:r>
      <w:r>
        <w:t xml:space="preserve"> </w:t>
      </w:r>
      <w:r>
        <w:rPr>
          <w:bCs/>
          <w:b/>
        </w:rPr>
        <w:t xml:space="preserve">Jerusalem</w:t>
      </w:r>
      <w:r>
        <w:t xml:space="preserve"> </w:t>
      </w:r>
      <w:r>
        <w:t xml:space="preserve">will help clients navigate bureaucratic hurdles before they become legal disputes. This includes early engagement with municipal authorities and community stakeholders.</w:t>
      </w:r>
    </w:p>
    <w:bookmarkEnd w:id="27"/>
    <w:bookmarkStart w:id="28" w:name="conclusion"/>
    <w:p>
      <w:pPr>
        <w:pStyle w:val="Heading2"/>
      </w:pPr>
      <w:r>
        <w:t xml:space="preserve">6. Conclusion</w:t>
      </w:r>
    </w:p>
    <w:p>
      <w:pPr>
        <w:pStyle w:val="FirstParagraph"/>
      </w:pPr>
      <w:r>
        <w:t xml:space="preserve">The case of the Old City property dispute illustrates that hiring a competent lawyer in</w:t>
      </w:r>
      <w:r>
        <w:t xml:space="preserve"> </w:t>
      </w:r>
      <w:r>
        <w:rPr>
          <w:bCs/>
          <w:b/>
        </w:rPr>
        <w:t xml:space="preserve">Israel, Jerusalem</w:t>
      </w:r>
      <w:r>
        <w:t xml:space="preserve"> </w:t>
      </w:r>
      <w:r>
        <w:t xml:space="preserve">is an investment in clarity, security, and cultural harmony. The legal environment here is complex, layered with history and competing interests. Clients must recognize that a lawyer’s role extends beyond courtroom advocacy; it involves deep administrative navigation and cross-cultural negotiation.</w:t>
      </w:r>
    </w:p>
    <w:p>
      <w:pPr>
        <w:pStyle w:val="BodyText"/>
      </w:pPr>
      <w:r>
        <w:t xml:space="preserve">For individuals and businesses operating in this vibrant yet complex city, the guidance of a specialized legal professional is indispensable. Whether dealing with business contracts, family matters, or property acquisitions, understanding the specificities of Israeli law as applied in Jerusalem is key to success. This case study reaffirms that expertise in local jurisdiction is not merely helpful—it is essential for protecting one’s interests in</w:t>
      </w:r>
      <w:r>
        <w:t xml:space="preserve"> </w:t>
      </w:r>
      <w:r>
        <w:rPr>
          <w:bCs/>
          <w:b/>
        </w:rPr>
        <w:t xml:space="preserve">Israel, Jerusalem</w:t>
      </w:r>
      <w:r>
        <w:t xml:space="preserve">.</w:t>
      </w:r>
    </w:p>
    <w:p>
      <w:pPr>
        <w:pStyle w:val="BodyText"/>
      </w:pPr>
      <w:r>
        <w:rPr>
          <w:iCs/>
          <w:i/>
        </w:rPr>
        <w:t xml:space="preserve">Disclaimer: This document is for informational purposes only and does not constitute legal advice. Readers are encouraged to consult with a qualified attorney licensed to practice law in the State of Israel for specific legal concerns.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Excellence in the Heart of History: A Case Study on Legal Practice in Israel, Jerusalem</dc:title>
  <dc:creator/>
  <cp:keywords/>
  <dcterms:created xsi:type="dcterms:W3CDTF">2026-07-29T15:54:39Z</dcterms:created>
  <dcterms:modified xsi:type="dcterms:W3CDTF">2026-07-29T15:54:39Z</dcterms:modified>
</cp:coreProperties>
</file>

<file path=docProps/custom.xml><?xml version="1.0" encoding="utf-8"?>
<Properties xmlns="http://schemas.openxmlformats.org/officeDocument/2006/custom-properties" xmlns:vt="http://schemas.openxmlformats.org/officeDocument/2006/docPropsVTypes"/>
</file>