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Israel</w:t>
      </w:r>
      <w:r>
        <w:t xml:space="preserve"> </w:t>
      </w:r>
      <w:r>
        <w:t xml:space="preserve">Tel</w:t>
      </w:r>
      <w:r>
        <w:t xml:space="preserve"> </w:t>
      </w:r>
      <w:r>
        <w:t xml:space="preserve">Aviv</w:t>
      </w:r>
    </w:p>
    <w:bookmarkStart w:id="30" w:name="X3e51fe4848c6dda28b8409183e677af1efcf91b"/>
    <w:p>
      <w:pPr>
        <w:pStyle w:val="Heading1"/>
      </w:pPr>
      <w:r>
        <w:t xml:space="preserve">Case Study: Strategic Legal Representation for International Tech Enterprises in Israel Tel Aviv</w:t>
      </w:r>
    </w:p>
    <w:p>
      <w:pPr>
        <w:pStyle w:val="FirstParagraph"/>
      </w:pPr>
      <w:r>
        <w:rPr>
          <w:bCs/>
          <w:b/>
        </w:rPr>
        <w:t xml:space="preserve">Date:</w:t>
      </w:r>
      <w:r>
        <w:t xml:space="preserve"> </w:t>
      </w:r>
      <w:r>
        <w:t xml:space="preserve">October 26, 2023</w:t>
      </w:r>
      <w:r>
        <w:br/>
      </w:r>
      <w:r>
        <w:rPr>
          <w:bCs/>
          <w:b/>
        </w:rPr>
        <w:t xml:space="preserve">Locus:</w:t>
      </w:r>
      <w:r>
        <w:t xml:space="preserve">Tel Aviv,Jaffa,Israel</w:t>
      </w:r>
      <w:r>
        <w:br/>
      </w:r>
      <w:r>
        <w:rPr>
          <w:bCs/>
          <w:b/>
        </w:rPr>
        <w:t xml:space="preserve">Subject:</w:t>
      </w:r>
      <w:r>
        <w:t xml:space="preserve">Navigating Complex Regulatory Compliance and Corporate Structuring for a U.S.-Based SaaS Provider Establishing Operations in the Tel Aviv Startup Ecosystem.</w:t>
      </w:r>
    </w:p>
    <w:bookmarkStart w:id="20" w:name="executive-summary"/>
    <w:p>
      <w:pPr>
        <w:pStyle w:val="Heading2"/>
      </w:pPr>
      <w:r>
        <w:t xml:space="preserve">1. Executive Summary</w:t>
      </w:r>
    </w:p>
    <w:p>
      <w:pPr>
        <w:pStyle w:val="FirstParagraph"/>
      </w:pPr>
      <w:r>
        <w:t xml:space="preserve">This</w:t>
      </w:r>
      <w:r>
        <w:t xml:space="preserve"> </w:t>
      </w:r>
      <w:r>
        <w:rPr>
          <w:iCs/>
          <w:i/>
          <w:u w:val="single"/>
          <w:bCs/>
          <w:b/>
        </w:rPr>
        <w:t xml:space="preserve">Case Study</w:t>
      </w:r>
      <w:r>
        <w:t xml:space="preserve"> </w:t>
      </w:r>
      <w:r>
        <w:t xml:space="preserve">examines the intricate legal challenges faced by "NovaStream," a fictional but representative Software-as-a-Service (SaaS) company based in Silicon Valley, as it expanded its operations into the dynamic business hub of Tel Aviv. The primary objective was to secure necessary licenses, ensure compliance with Israel’s stringent data protection laws, and structure employment contracts for a multinational remote team. By engaging specialized legal counsel familiar with the unique regulatory landscape of</w:t>
      </w:r>
      <w:r>
        <w:t xml:space="preserve"> </w:t>
      </w:r>
      <w:r>
        <w:rPr>
          <w:bCs/>
          <w:b/>
        </w:rPr>
        <w:t xml:space="preserve">Israel Tel Aviv</w:t>
      </w:r>
      <w:r>
        <w:t xml:space="preserve">, NovaStream successfully mitigated risk and accelerated its market entry by three months. This document details the legal strategy employed by the appointed</w:t>
      </w:r>
      <w:r>
        <w:t xml:space="preserve"> </w:t>
      </w:r>
      <w:r>
        <w:rPr>
          <w:bCs/>
          <w:b/>
        </w:rPr>
        <w:t xml:space="preserve">Lawyer</w:t>
      </w:r>
      <w:r>
        <w:t xml:space="preserve">, highlighting critical insights relevant to international entities operating in this high-growth region.</w:t>
      </w:r>
    </w:p>
    <w:bookmarkEnd w:id="20"/>
    <w:bookmarkStart w:id="21" w:name="background-and-client-profile"/>
    <w:p>
      <w:pPr>
        <w:pStyle w:val="Heading2"/>
      </w:pPr>
      <w:r>
        <w:t xml:space="preserve">2. Background and Client Profile</w:t>
      </w:r>
    </w:p>
    <w:p>
      <w:pPr>
        <w:pStyle w:val="FirstParagraph"/>
      </w:pPr>
      <w:r>
        <w:t xml:space="preserve">NovaStream is a mid-sized technology firm specializing in AI-driven analytics for supply chain management. While headquartered in California, NovaStream identified Tel Aviv as its optimal location for research and development due to the city's reputation as a global startup capital ("Startup Nation") and its concentration of top-tier engineering talent. However, expanding into</w:t>
      </w:r>
      <w:r>
        <w:t xml:space="preserve"> </w:t>
      </w:r>
      <w:r>
        <w:rPr>
          <w:bCs/>
          <w:b/>
        </w:rPr>
        <w:t xml:space="preserve">Israel Tel Aviv</w:t>
      </w:r>
      <w:r>
        <w:t xml:space="preserve"> </w:t>
      </w:r>
      <w:r>
        <w:t xml:space="preserve">presented immediate legal hurdles that differed significantly from U.S. corporate norms.</w:t>
      </w:r>
    </w:p>
    <w:p>
      <w:pPr>
        <w:pStyle w:val="BodyText"/>
      </w:pPr>
      <w:r>
        <w:t xml:space="preserve">The client’s initial approach was purely commercial; they sought to hire developers quickly without establishing a full subsidiary immediately, assuming local contractors could be managed via simple service agreements. It was only when payroll taxation issues and intellectual property (IP) ownership clauses were flagged by potential investors that NovaStream engaged a qualified</w:t>
      </w:r>
      <w:r>
        <w:t xml:space="preserve"> </w:t>
      </w:r>
      <w:r>
        <w:rPr>
          <w:bCs/>
          <w:b/>
        </w:rPr>
        <w:t xml:space="preserve">Lawyer</w:t>
      </w:r>
      <w:r>
        <w:t xml:space="preserve"> </w:t>
      </w:r>
      <w:r>
        <w:t xml:space="preserve">specializing in international corporate law with specific expertise in Israeli jurisdiction.</w:t>
      </w:r>
    </w:p>
    <w:bookmarkEnd w:id="21"/>
    <w:bookmarkStart w:id="22" w:name="legal-challenges-identified"/>
    <w:p>
      <w:pPr>
        <w:pStyle w:val="Heading2"/>
      </w:pPr>
      <w:r>
        <w:t xml:space="preserve">3. Legal Challenges Identified</w:t>
      </w:r>
    </w:p>
    <w:p>
      <w:pPr>
        <w:pStyle w:val="FirstParagraph"/>
      </w:pPr>
      <w:r>
        <w:t xml:space="preserve">The engagement of the</w:t>
      </w:r>
      <w:r>
        <w:t xml:space="preserve"> </w:t>
      </w:r>
      <w:r>
        <w:rPr>
          <w:iCs/>
          <w:i/>
          <w:u w:val="single"/>
          <w:bCs/>
          <w:b/>
        </w:rPr>
        <w:t xml:space="preserve">Case Study</w:t>
      </w:r>
      <w:r>
        <w:t xml:space="preserve">'s primary subject matter began with a comprehensive audit of NovaStream's proposed operational model. The following critical issues were identified:</w:t>
      </w:r>
    </w:p>
    <w:p>
      <w:pPr>
        <w:numPr>
          <w:ilvl w:val="0"/>
          <w:numId w:val="1001"/>
        </w:numPr>
        <w:pStyle w:val="Compact"/>
      </w:pPr>
      <w:r>
        <w:rPr>
          <w:bCs/>
          <w:b/>
        </w:rPr>
        <w:t xml:space="preserve">Data Sovereignty and Privacy:</w:t>
      </w:r>
      <w:r>
        <w:t xml:space="preserve"> </w:t>
      </w:r>
      <w:r>
        <w:t xml:space="preserve">Israel, while not an EU member, maintains data protection standards harmonized with the European Union’s GDPR through its Privacy Protection Act. The</w:t>
      </w:r>
      <w:r>
        <w:t xml:space="preserve"> </w:t>
      </w:r>
      <w:r>
        <w:rPr>
          <w:bCs/>
          <w:b/>
        </w:rPr>
        <w:t xml:space="preserve">Lawyer</w:t>
      </w:r>
      <w:r>
        <w:t xml:space="preserve"> </w:t>
      </w:r>
      <w:r>
        <w:t xml:space="preserve">needed to ensure that NovaStream’s data storage practices in Tel Aviv complied with both local Israeli regulations and international cross-border transfer requirements.</w:t>
      </w:r>
    </w:p>
    <w:p>
      <w:pPr>
        <w:numPr>
          <w:ilvl w:val="0"/>
          <w:numId w:val="1001"/>
        </w:numPr>
        <w:pStyle w:val="Compact"/>
      </w:pPr>
      <w:r>
        <w:rPr>
          <w:bCs/>
          <w:b/>
        </w:rPr>
        <w:t xml:space="preserve">Employment Classification Risks:</w:t>
      </w:r>
      <w:r>
        <w:t xml:space="preserve"> </w:t>
      </w:r>
      <w:r>
        <w:t xml:space="preserve">Israeli labor law is heavily protective of employees. Misclassifying full-time developers as independent contractors is a common pitfall for foreign companies. The legal team had to determine whether NovaStream’s workers should be classified as local employees, subject to mandatory benefits such as pension contributions, vacation pay, and sick leave.</w:t>
      </w:r>
    </w:p>
    <w:p>
      <w:pPr>
        <w:numPr>
          <w:ilvl w:val="0"/>
          <w:numId w:val="1001"/>
        </w:numPr>
        <w:pStyle w:val="Compact"/>
      </w:pPr>
      <w:r>
        <w:rPr>
          <w:bCs/>
          <w:b/>
        </w:rPr>
        <w:t xml:space="preserve">Intellectual Property Protection:</w:t>
      </w:r>
      <w:r>
        <w:t xml:space="preserve"> </w:t>
      </w:r>
      <w:r>
        <w:t xml:space="preserve">Ensuring that code developed in Tel Aviv remained the exclusive property of the U.S. parent company required robust legal frameworks that were enforceable under Israeli law.</w:t>
      </w:r>
    </w:p>
    <w:bookmarkEnd w:id="22"/>
    <w:bookmarkStart w:id="26" w:name="strategic-legal-interventions"/>
    <w:p>
      <w:pPr>
        <w:pStyle w:val="Heading2"/>
      </w:pPr>
      <w:r>
        <w:t xml:space="preserve">4. Strategic Legal Interventions</w:t>
      </w:r>
    </w:p>
    <w:p>
      <w:pPr>
        <w:pStyle w:val="FirstParagraph"/>
      </w:pPr>
      <w:r>
        <w:t xml:space="preserve">The appointed</w:t>
      </w:r>
      <w:r>
        <w:t xml:space="preserve"> </w:t>
      </w:r>
      <w:r>
        <w:rPr>
          <w:iCs/>
          <w:i/>
          <w:u w:val="single"/>
          <w:bCs/>
          <w:b/>
        </w:rPr>
        <w:t xml:space="preserve">Lawyer</w:t>
      </w:r>
      <w:r>
        <w:t xml:space="preserve">, operating out of a boutique firm in downtown Tel Aviv, implemented a multi-tiered strategy to address these challenges while maintaining NovaStream’s operational agility.</w:t>
      </w:r>
    </w:p>
    <w:bookmarkStart w:id="23" w:name="Xd1333944b20d16d039333e0c9dc515da60dade7"/>
    <w:p>
      <w:pPr>
        <w:pStyle w:val="Heading3"/>
      </w:pPr>
      <w:r>
        <w:t xml:space="preserve">A. Corporate Structuring and Tax Efficiency</w:t>
      </w:r>
    </w:p>
    <w:p>
      <w:pPr>
        <w:pStyle w:val="FirstParagraph"/>
      </w:pPr>
      <w:r>
        <w:t xml:space="preserve">Rather than establishing a wholly-owned subsidiary immediately, which carries high administrative burdens, the</w:t>
      </w:r>
      <w:r>
        <w:t xml:space="preserve"> </w:t>
      </w:r>
      <w:r>
        <w:rPr>
          <w:iCs/>
          <w:i/>
          <w:u w:val="single"/>
          <w:bCs/>
          <w:b/>
        </w:rPr>
        <w:t xml:space="preserve">Case Study</w:t>
      </w:r>
      <w:r>
        <w:t xml:space="preserve">'s legal advisor recommended setting up a "Representative Office" first. This allowed NovaStream to hire staff legally while deferring full incorporation until revenue targets were met. The</w:t>
      </w:r>
      <w:r>
        <w:t xml:space="preserve"> </w:t>
      </w:r>
      <w:r>
        <w:rPr>
          <w:bCs/>
          <w:b/>
        </w:rPr>
        <w:t xml:space="preserve">Lawyer</w:t>
      </w:r>
      <w:r>
        <w:t xml:space="preserve"> </w:t>
      </w:r>
      <w:r>
        <w:t xml:space="preserve">negotiated favorable terms with local authorities, ensuring that the office could sign contracts and open bank accounts without requiring a physical tax residency for the parent company.</w:t>
      </w:r>
    </w:p>
    <w:bookmarkEnd w:id="23"/>
    <w:bookmarkStart w:id="24" w:name="b.-navigating-israeli-labor-laws"/>
    <w:p>
      <w:pPr>
        <w:pStyle w:val="Heading3"/>
      </w:pPr>
      <w:r>
        <w:t xml:space="preserve">B. Navigating Israeli Labor Laws</w:t>
      </w:r>
    </w:p>
    <w:p>
      <w:pPr>
        <w:pStyle w:val="FirstParagraph"/>
      </w:pPr>
      <w:r>
        <w:t xml:space="preserve">A critical component of this</w:t>
      </w:r>
      <w:r>
        <w:t xml:space="preserve"> </w:t>
      </w:r>
      <w:r>
        <w:rPr>
          <w:iCs/>
          <w:i/>
          <w:u w:val="single"/>
          <w:bCs/>
          <w:b/>
        </w:rPr>
        <w:t xml:space="preserve">Case Study</w:t>
      </w:r>
      <w:r>
        <w:t xml:space="preserve"> </w:t>
      </w:r>
      <w:r>
        <w:t xml:space="preserve">involved drafting employment contracts that complied with Israeli statutes. The</w:t>
      </w:r>
      <w:r>
        <w:t xml:space="preserve"> </w:t>
      </w:r>
      <w:r>
        <w:rPr>
          <w:iCs/>
          <w:i/>
          <w:u w:val="single"/>
          <w:bCs/>
          <w:b/>
        </w:rPr>
        <w:t xml:space="preserve">Lawyer</w:t>
      </w:r>
      <w:r>
        <w:t xml:space="preserve">warned against using standard U.S. contract templates, as they often lack mandatory Israeli clauses regarding severance pay (known as "San'at Yediyya") and annual leave accruals. Instead, the legal team customized employment agreements that explicitly defined working hours, overtime compensation in accordance with the Hours of Work Law, and clear IP assignment clauses.</w:t>
      </w:r>
    </w:p>
    <w:p>
      <w:pPr>
        <w:pStyle w:val="BodyText"/>
      </w:pPr>
      <w:r>
        <w:t xml:space="preserve">Furthermore, the</w:t>
      </w:r>
      <w:r>
        <w:t xml:space="preserve"> </w:t>
      </w:r>
      <w:r>
        <w:rPr>
          <w:iCs/>
          <w:i/>
          <w:u w:val="single"/>
          <w:bCs/>
          <w:b/>
        </w:rPr>
        <w:t xml:space="preserve">Case Study</w:t>
      </w:r>
      <w:r>
        <w:t xml:space="preserve">'s advisor facilitated a negotiation with NovaStream’s HR department to introduce a hybrid benefit structure. This included mandatory contributions to Israeli pension funds while allowing flexibility in health insurance options, thereby reducing overall payroll friction and increasing employee retention rates in the competitive Tel Aviv market.</w:t>
      </w:r>
    </w:p>
    <w:bookmarkEnd w:id="24"/>
    <w:bookmarkStart w:id="25" w:name="Xc3a87bb81b9405a5526a7a9efb9a2ca4dc9f221"/>
    <w:p>
      <w:pPr>
        <w:pStyle w:val="Heading3"/>
      </w:pPr>
      <w:r>
        <w:t xml:space="preserve">C. Compliance with Data Protection Regulations</w:t>
      </w:r>
    </w:p>
    <w:p>
      <w:pPr>
        <w:pStyle w:val="FirstParagraph"/>
      </w:pPr>
      <w:r>
        <w:t xml:space="preserve">To address data privacy concerns, the</w:t>
      </w:r>
      <w:r>
        <w:t xml:space="preserve"> </w:t>
      </w:r>
      <w:r>
        <w:rPr>
          <w:iCs/>
          <w:i/>
          <w:u w:val="single"/>
          <w:bCs/>
          <w:b/>
        </w:rPr>
        <w:t xml:space="preserve">Lawyer</w:t>
      </w:r>
      <w:r>
        <w:t xml:space="preserve"> </w:t>
      </w:r>
      <w:r>
        <w:t xml:space="preserve">conducted a gap analysis between NovaStream’s U.S. data practices and Israel’s Privacy Protection Act. The strategy involved implementing a "Local Data Staging" protocol, where all personal data of EU citizens processed by Tel Aviv engineers was anonymized before being transferred to U.S. servers. The</w:t>
      </w:r>
      <w:r>
        <w:t xml:space="preserve"> </w:t>
      </w:r>
      <w:r>
        <w:rPr>
          <w:iCs/>
          <w:i/>
          <w:u w:val="single"/>
          <w:bCs/>
          <w:b/>
        </w:rPr>
        <w:t xml:space="preserve">Case Study</w:t>
      </w:r>
      <w:r>
        <w:t xml:space="preserve">'s legal counsel also helped draft a comprehensive Privacy Policy that satisfied both Israeli regulators and international partners.</w:t>
      </w:r>
    </w:p>
    <w:bookmarkEnd w:id="25"/>
    <w:bookmarkEnd w:id="26"/>
    <w:bookmarkStart w:id="27" w:name="outcomes-and-results"/>
    <w:p>
      <w:pPr>
        <w:pStyle w:val="Heading2"/>
      </w:pPr>
      <w:r>
        <w:t xml:space="preserve">5. Outcomes and Results</w:t>
      </w:r>
    </w:p>
    <w:p>
      <w:pPr>
        <w:pStyle w:val="FirstParagraph"/>
      </w:pPr>
      <w:r>
        <w:t xml:space="preserve">The strategic interventions outlined in this</w:t>
      </w:r>
      <w:r>
        <w:t xml:space="preserve"> </w:t>
      </w:r>
      <w:r>
        <w:rPr>
          <w:iCs/>
          <w:i/>
          <w:u w:val="single"/>
          <w:bCs/>
          <w:b/>
        </w:rPr>
        <w:t xml:space="preserve">Case Study</w:t>
      </w:r>
      <w:r>
        <w:t xml:space="preserve"> </w:t>
      </w:r>
      <w:r>
        <w:t xml:space="preserve">yielded significant positive results for NovaStream within the first twelve months of operation in</w:t>
      </w:r>
      <w:r>
        <w:t xml:space="preserve"> </w:t>
      </w:r>
      <w:r>
        <w:rPr>
          <w:iCs/>
          <w:i/>
          <w:u w:val="single"/>
          <w:bCs/>
          <w:b/>
        </w:rPr>
        <w:t xml:space="preserve">Israel Tel Aviv</w:t>
      </w:r>
      <w:r>
        <w:t xml:space="preserve">:</w:t>
      </w:r>
    </w:p>
    <w:p>
      <w:pPr>
        <w:numPr>
          <w:ilvl w:val="0"/>
          <w:numId w:val="1002"/>
        </w:numPr>
        <w:pStyle w:val="Compact"/>
      </w:pPr>
      <w:r>
        <w:rPr>
          <w:bCs/>
          <w:b/>
        </w:rPr>
        <w:t xml:space="preserve">Zero Regulatory Penalties:</w:t>
      </w:r>
      <w:r>
        <w:t xml:space="preserve"> </w:t>
      </w:r>
      <w:r>
        <w:t xml:space="preserve">The company passed its initial audit by the Israeli Privacy Protection Authority with zero non-conformities.</w:t>
      </w:r>
    </w:p>
    <w:p>
      <w:pPr>
        <w:numPr>
          <w:ilvl w:val="0"/>
          <w:numId w:val="1002"/>
        </w:numPr>
        <w:pStyle w:val="Compact"/>
      </w:pPr>
      <w:r>
        <w:rPr>
          <w:bCs/>
          <w:b/>
        </w:rPr>
        <w:t xml:space="preserve">Talent Acquisition Success:</w:t>
      </w:r>
      <w:r>
        <w:t xml:space="preserve"> </w:t>
      </w:r>
      <w:r>
        <w:t xml:space="preserve">By adhering to local labor standards, NovaStream attracted top engineering talent who valued job security and compliance. The turnover rate was 15% lower than the industry average in Tel Aviv.</w:t>
      </w:r>
    </w:p>
    <w:p>
      <w:pPr>
        <w:numPr>
          <w:ilvl w:val="0"/>
          <w:numId w:val="1002"/>
        </w:numPr>
        <w:pStyle w:val="Compact"/>
      </w:pPr>
      <w:r>
        <w:rPr>
          <w:bCs/>
          <w:b/>
        </w:rPr>
        <w:t xml:space="preserve">Investor Confidence:</w:t>
      </w:r>
      <w:r>
        <w:t xml:space="preserve"> </w:t>
      </w:r>
      <w:r>
        <w:t xml:space="preserve">When NovaStream sought Series B funding, investors cited the robust legal infrastructure established by their</w:t>
      </w:r>
      <w:r>
        <w:t xml:space="preserve"> </w:t>
      </w:r>
      <w:r>
        <w:rPr>
          <w:iCs/>
          <w:i/>
          <w:u w:val="single"/>
          <w:bCs/>
          <w:b/>
        </w:rPr>
        <w:t xml:space="preserve">Lawyer</w:t>
      </w:r>
      <w:r>
        <w:t xml:space="preserve"> </w:t>
      </w:r>
      <w:r>
        <w:t xml:space="preserve">as a key factor in their due diligence approval. The clear IP ownership and compliant labor practices removed potential liabilities from the investment equation.</w:t>
      </w:r>
    </w:p>
    <w:p>
      <w:pPr>
        <w:numPr>
          <w:ilvl w:val="0"/>
          <w:numId w:val="1002"/>
        </w:numPr>
        <w:pStyle w:val="Compact"/>
      </w:pPr>
      <w:r>
        <w:rPr>
          <w:bCs/>
          <w:b/>
        </w:rPr>
        <w:t xml:space="preserve">Operational Agility:</w:t>
      </w:r>
      <w:r>
        <w:t xml:space="preserve"> </w:t>
      </w:r>
      <w:r>
        <w:t xml:space="preserve">By avoiding premature incorporation, NovaStream saved approximately $150,000 in initial setup costs and legal fees during its first year.</w:t>
      </w:r>
    </w:p>
    <w:bookmarkEnd w:id="27"/>
    <w:bookmarkStart w:id="28" w:name="lessons-learned-and-key-takeaways"/>
    <w:p>
      <w:pPr>
        <w:pStyle w:val="Heading2"/>
      </w:pPr>
      <w:r>
        <w:t xml:space="preserve">6. Lessons Learned and Key Takeaways</w:t>
      </w:r>
    </w:p>
    <w:p>
      <w:pPr>
        <w:pStyle w:val="FirstParagraph"/>
      </w:pPr>
      <w:r>
        <w:t xml:space="preserve">This</w:t>
      </w:r>
      <w:r>
        <w:t xml:space="preserve"> </w:t>
      </w:r>
      <w:r>
        <w:rPr>
          <w:iCs/>
          <w:i/>
          <w:u w:val="single"/>
          <w:bCs/>
          <w:b/>
        </w:rPr>
        <w:t xml:space="preserve">Case Study</w:t>
      </w:r>
      <w:r>
        <w:t xml:space="preserve"> </w:t>
      </w:r>
      <w:r>
        <w:t xml:space="preserve">underscores several vital lessons for international companies considering expansion into</w:t>
      </w:r>
      <w:r>
        <w:t xml:space="preserve"> </w:t>
      </w:r>
      <w:r>
        <w:rPr>
          <w:iCs/>
          <w:i/>
          <w:u w:val="single"/>
          <w:bCs/>
          <w:b/>
        </w:rPr>
        <w:t xml:space="preserve">Israel Tel Aviv</w:t>
      </w:r>
      <w:r>
        <w:t xml:space="preserve">:</w:t>
      </w:r>
    </w:p>
    <w:p>
      <w:pPr>
        <w:numPr>
          <w:ilvl w:val="0"/>
          <w:numId w:val="1003"/>
        </w:numPr>
        <w:pStyle w:val="Compact"/>
      </w:pPr>
      <w:r>
        <w:rPr>
          <w:bCs/>
          <w:b/>
        </w:rPr>
        <w:t xml:space="preserve">Hire Local Expertise:</w:t>
      </w:r>
      <w:r>
        <w:t xml:space="preserve"> </w:t>
      </w:r>
      <w:r>
        <w:t xml:space="preserve">General corporate counsel from abroad is insufficient. The unique nuances of Israeli labor and data law require a</w:t>
      </w:r>
      <w:r>
        <w:t xml:space="preserve"> </w:t>
      </w:r>
      <w:r>
        <w:rPr>
          <w:iCs/>
          <w:i/>
          <w:u w:val="single"/>
          <w:bCs/>
          <w:b/>
        </w:rPr>
        <w:t xml:space="preserve">Lawyer</w:t>
      </w:r>
      <w:r>
        <w:t xml:space="preserve"> </w:t>
      </w:r>
      <w:r>
        <w:t xml:space="preserve">with specific regional experience.</w:t>
      </w:r>
    </w:p>
    <w:p>
      <w:pPr>
        <w:numPr>
          <w:ilvl w:val="0"/>
          <w:numId w:val="1003"/>
        </w:numPr>
        <w:pStyle w:val="Compact"/>
      </w:pPr>
      <w:r>
        <w:rPr>
          <w:bCs/>
          <w:b/>
        </w:rPr>
        <w:t xml:space="preserve">Proactive Compliance:</w:t>
      </w:r>
      <w:r>
        <w:t xml:space="preserve"> </w:t>
      </w:r>
      <w:r>
        <w:t xml:space="preserve">Waiting for regulatory issues to arise is costly in Tel Aviv’s fast-paced environment. Embedding legal compliance into the operational model from day one, as demonstrated in this</w:t>
      </w:r>
      <w:r>
        <w:t xml:space="preserve"> </w:t>
      </w:r>
      <w:r>
        <w:rPr>
          <w:iCs/>
          <w:i/>
          <w:u w:val="single"/>
          <w:bCs/>
          <w:b/>
        </w:rPr>
        <w:t xml:space="preserve">Case Study</w:t>
      </w:r>
      <w:r>
        <w:t xml:space="preserve">, prevents expensive retroactive fixes.</w:t>
      </w:r>
    </w:p>
    <w:p>
      <w:pPr>
        <w:numPr>
          <w:ilvl w:val="0"/>
          <w:numId w:val="1003"/>
        </w:numPr>
        <w:pStyle w:val="Compact"/>
      </w:pPr>
      <w:r>
        <w:rPr>
          <w:bCs/>
          <w:b/>
        </w:rPr>
        <w:t xml:space="preserve">Cultural and Legal Nuance:</w:t>
      </w:r>
      <w:r>
        <w:t xml:space="preserve"> </w:t>
      </w:r>
      <w:r>
        <w:t xml:space="preserve">Understanding the "Chutzpah" (directness) of Israeli business culture is important, but it must be balanced with strict adherence to formal legal requirements. A</w:t>
      </w:r>
      <w:r>
        <w:t xml:space="preserve"> </w:t>
      </w:r>
      <w:r>
        <w:rPr>
          <w:iCs/>
          <w:i/>
          <w:u w:val="single"/>
          <w:bCs/>
          <w:b/>
        </w:rPr>
        <w:t xml:space="preserve">Lawyer</w:t>
      </w:r>
      <w:r>
        <w:t xml:space="preserve"> </w:t>
      </w:r>
      <w:r>
        <w:t xml:space="preserve">acts as a bridge between foreign corporate expectations and local legal realities.</w:t>
      </w:r>
    </w:p>
    <w:p>
      <w:pPr>
        <w:numPr>
          <w:ilvl w:val="0"/>
          <w:numId w:val="1003"/>
        </w:numPr>
        <w:pStyle w:val="Compact"/>
      </w:pPr>
      <w:r>
        <w:rPr>
          <w:bCs/>
          <w:b/>
        </w:rPr>
        <w:t xml:space="preserve">Data Localization Matters:</w:t>
      </w:r>
      <w:r>
        <w:t xml:space="preserve"> </w:t>
      </w:r>
      <w:r>
        <w:t xml:space="preserve">Even in the cloud era, data sovereignty laws are tightening globally. Operating in</w:t>
      </w:r>
      <w:r>
        <w:t xml:space="preserve"> </w:t>
      </w:r>
      <w:r>
        <w:rPr>
          <w:iCs/>
          <w:i/>
          <w:u w:val="single"/>
          <w:bCs/>
          <w:b/>
        </w:rPr>
        <w:t xml:space="preserve">Israel Tel Aviv</w:t>
      </w:r>
      <w:r>
        <w:t xml:space="preserve"> </w:t>
      </w:r>
      <w:r>
        <w:t xml:space="preserve">requires careful management of data flows to maintain international credibility.</w:t>
      </w:r>
    </w:p>
    <w:bookmarkEnd w:id="28"/>
    <w:bookmarkStart w:id="29" w:name="conclusion"/>
    <w:p>
      <w:pPr>
        <w:pStyle w:val="Heading2"/>
      </w:pPr>
      <w:r>
        <w:t xml:space="preserve">7. Conclusion</w:t>
      </w:r>
    </w:p>
    <w:p>
      <w:pPr>
        <w:pStyle w:val="FirstParagraph"/>
      </w:pPr>
      <w:r>
        <w:t xml:space="preserve">The expansion of NovaStream into the vibrant tech hub of</w:t>
      </w:r>
      <w:r>
        <w:t xml:space="preserve"> </w:t>
      </w:r>
      <w:r>
        <w:rPr>
          <w:iCs/>
          <w:i/>
          <w:u w:val="single"/>
          <w:bCs/>
          <w:b/>
        </w:rPr>
        <w:t xml:space="preserve">Israel Tel Aviv</w:t>
      </w:r>
      <w:r>
        <w:t xml:space="preserve"> </w:t>
      </w:r>
      <w:r>
        <w:t xml:space="preserve">serves as a prime example for other multinational entities seeking to leverage the region’s innovation ecosystem. The success of this venture was not merely a result of technological superiority but was fundamentally anchored in sound legal strategy. By engaging a specialized</w:t>
      </w:r>
      <w:r>
        <w:t xml:space="preserve"> </w:t>
      </w:r>
      <w:r>
        <w:rPr>
          <w:iCs/>
          <w:i/>
          <w:u w:val="single"/>
          <w:bCs/>
          <w:b/>
        </w:rPr>
        <w:t xml:space="preserve">Lawyer</w:t>
      </w:r>
      <w:r>
        <w:t xml:space="preserve"> </w:t>
      </w:r>
      <w:r>
        <w:t xml:space="preserve">who understood the local regulatory framework, NovaStream mitigated risks related to data privacy, employment law, and corporate structuring.</w:t>
      </w:r>
    </w:p>
    <w:p>
      <w:pPr>
        <w:pStyle w:val="BodyText"/>
      </w:pPr>
      <w:r>
        <w:t xml:space="preserve">This</w:t>
      </w:r>
      <w:r>
        <w:t xml:space="preserve"> </w:t>
      </w:r>
      <w:r>
        <w:rPr>
          <w:iCs/>
          <w:i/>
          <w:u w:val="single"/>
          <w:bCs/>
          <w:b/>
        </w:rPr>
        <w:t xml:space="preserve">Case Study</w:t>
      </w:r>
      <w:r>
        <w:t xml:space="preserve"> </w:t>
      </w:r>
      <w:r>
        <w:t xml:space="preserve">demonstrates that while the legal landscape in</w:t>
      </w:r>
      <w:r>
        <w:t xml:space="preserve"> </w:t>
      </w:r>
      <w:r>
        <w:rPr>
          <w:iCs/>
          <w:i/>
          <w:u w:val="single"/>
          <w:bCs/>
          <w:b/>
        </w:rPr>
        <w:t xml:space="preserve">Israel Tel Aviv</w:t>
      </w:r>
      <w:r>
        <w:t xml:space="preserve"> </w:t>
      </w:r>
      <w:r>
        <w:t xml:space="preserve">can be complex, it is navigable with the right professional guidance. For businesses looking to establish a foothold in this dynamic market, investing in comprehensive legal counsel is not an expense but a critical component of sustainable growth and operational integrity.</w:t>
      </w:r>
    </w:p>
    <w:p>
      <w:pPr>
        <w:pStyle w:val="BodyText"/>
      </w:pPr>
      <w:r>
        <w:t xml:space="preserve">© 2023 Global Legal Insights Group. All Rights Reserved.</w:t>
      </w:r>
      <w:r>
        <w:br/>
      </w:r>
      <w:r>
        <w:t xml:space="preserve">This document is for informational purposes only and does not constitute legal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Israel Tel Aviv</dc:title>
  <dc:creator/>
  <dc:language>en</dc:language>
  <cp:keywords/>
  <dcterms:created xsi:type="dcterms:W3CDTF">2026-07-29T17:56:09Z</dcterms:created>
  <dcterms:modified xsi:type="dcterms:W3CDTF">2026-07-29T17:56:09Z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