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Italy</w:t>
      </w:r>
      <w:r>
        <w:t xml:space="preserve"> </w:t>
      </w:r>
      <w:r>
        <w:t xml:space="preserve">Rome</w:t>
      </w:r>
    </w:p>
    <w:bookmarkStart w:id="28" w:name="X19588c2bb8dd74145eba2bdbd0e4612fb909f9b"/>
    <w:p>
      <w:pPr>
        <w:pStyle w:val="Heading1"/>
      </w:pPr>
      <w:r>
        <w:t xml:space="preserve">Navigating Complexity: A Case Study on Legal Representation in Italy Rome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Professional Review</w:t>
      </w:r>
    </w:p>
    <w:p>
      <w:pPr>
        <w:pStyle w:val="BodyText"/>
      </w:pPr>
      <w:r>
        <w:t xml:space="preserve">The legal landscape of Italy is renowned for its complexity, deeply rooted in civil law traditions that differ significantly from common law systems. Within this intricate framework, the city of Rome serves as a critical hub for legal activity. As the capital and a major international center, Rome presents unique challenges and opportunities for both domestic and foreign clients seeking justice. This case study explores a high-stakes commercial dispute resolved through strategic</w:t>
      </w:r>
      <w:r>
        <w:t xml:space="preserve"> </w:t>
      </w:r>
      <w:r>
        <w:rPr>
          <w:bCs/>
          <w:b/>
        </w:rPr>
        <w:t xml:space="preserve">Lawyer</w:t>
      </w:r>
      <w:r>
        <w:t xml:space="preserve"> </w:t>
      </w:r>
      <w:r>
        <w:t xml:space="preserve">representation in</w:t>
      </w:r>
      <w:r>
        <w:t xml:space="preserve"> </w:t>
      </w:r>
      <w:r>
        <w:rPr>
          <w:bCs/>
          <w:b/>
        </w:rPr>
        <w:t xml:space="preserve">Italy Rome</w:t>
      </w:r>
      <w:r>
        <w:t xml:space="preserve">, highlighting the nuances of local practice, procedural rigor, and cultural competency.</w:t>
      </w:r>
    </w:p>
    <w:bookmarkStart w:id="20" w:name="X7fb81148ab333132283f9245237750fcd3fe65a"/>
    <w:p>
      <w:pPr>
        <w:pStyle w:val="Heading2"/>
      </w:pPr>
      <w:r>
        <w:t xml:space="preserve">The Client Profile: International Investment Group</w:t>
      </w:r>
    </w:p>
    <w:p>
      <w:pPr>
        <w:pStyle w:val="FirstParagraph"/>
      </w:pPr>
      <w:r>
        <w:t xml:space="preserve">The subject of this case study is "Meridian Holdings," a fictional international investment consortium based in London. Meridian had recently acquired a portfolio of historic real estate properties in the heart of Rome’s historic center. The acquisition was intended for redevelopment into luxury hospitality assets. However, shortly after closing the transaction, Meridian discovered significant discrepancies between the title deeds provided by the seller and the actual zoning regulations enforced by local municipal authorities.</w:t>
      </w:r>
    </w:p>
    <w:p>
      <w:pPr>
        <w:pStyle w:val="BodyText"/>
      </w:pPr>
      <w:r>
        <w:t xml:space="preserve">The core issue revolved around a dispute over "vincoli" (heritage restrictions) that had not been fully disclosed during due diligence. Furthermore, a group of local residents filed an injunction to halt construction, alleging violations of noise ordinances and heritage preservation laws dating back to the 19th century. The stakes were high: potential damages exceeded €5 million, and reputational risk within the Italian market was severe.</w:t>
      </w:r>
    </w:p>
    <w:bookmarkEnd w:id="20"/>
    <w:bookmarkStart w:id="21" w:name="X35494421cb51602e11e6470e9cad3e98ea5a37b"/>
    <w:p>
      <w:pPr>
        <w:pStyle w:val="Heading2"/>
      </w:pPr>
      <w:r>
        <w:t xml:space="preserve">The Challenge: Jurisdictional Nuances in Italy Rome</w:t>
      </w:r>
    </w:p>
    <w:p>
      <w:pPr>
        <w:pStyle w:val="FirstParagraph"/>
      </w:pPr>
      <w:r>
        <w:t xml:space="preserve">To effectively address these challenges, Meridian required a specialized team of legal professionals. The primary challenge was not merely finding a</w:t>
      </w:r>
      <w:r>
        <w:t xml:space="preserve"> </w:t>
      </w:r>
      <w:r>
        <w:rPr>
          <w:bCs/>
          <w:b/>
        </w:rPr>
        <w:t xml:space="preserve">Lawyer</w:t>
      </w:r>
      <w:r>
        <w:t xml:space="preserve">, but finding one who possessed intimate knowledge of the specific judicial dynamics within the Tribunal of Rome (Tribunale di Roma). Unlike generic national firms, local expertise in</w:t>
      </w:r>
      <w:r>
        <w:t xml:space="preserve"> </w:t>
      </w:r>
      <w:r>
        <w:rPr>
          <w:bCs/>
          <w:b/>
        </w:rPr>
        <w:t xml:space="preserve">Italy Rome</w:t>
      </w:r>
      <w:r>
        <w:t xml:space="preserve"> </w:t>
      </w:r>
      <w:r>
        <w:t xml:space="preserve">is paramount due to several factors:</w:t>
      </w:r>
    </w:p>
    <w:p>
      <w:pPr>
        <w:numPr>
          <w:ilvl w:val="0"/>
          <w:numId w:val="1001"/>
        </w:numPr>
        <w:pStyle w:val="Compact"/>
      </w:pPr>
      <w:r>
        <w:rPr>
          <w:bCs/>
          <w:b/>
        </w:rPr>
        <w:t xml:space="preserve">Judicial Precedent Interpretation:</w:t>
      </w:r>
      <w:r>
        <w:t xml:space="preserve"> </w:t>
      </w:r>
      <w:r>
        <w:t xml:space="preserve">While Italy is a civil law country, the consistent interpretation of laws by judges in Rome can create de facto precedents. A local</w:t>
      </w:r>
      <w:r>
        <w:t xml:space="preserve"> </w:t>
      </w:r>
      <w:r>
        <w:rPr>
          <w:bCs/>
          <w:b/>
        </w:rPr>
        <w:t xml:space="preserve">Lawyer</w:t>
      </w:r>
      <w:r>
        <w:t xml:space="preserve"> </w:t>
      </w:r>
      <w:r>
        <w:t xml:space="preserve">understands how specific judges in Rome tend to rule on heritage-related injunctions.</w:t>
      </w:r>
    </w:p>
    <w:p>
      <w:pPr>
        <w:numPr>
          <w:ilvl w:val="0"/>
          <w:numId w:val="1001"/>
        </w:numPr>
        <w:pStyle w:val="Compact"/>
      </w:pPr>
      <w:r>
        <w:t xml:space="preserve">The administrative layering in Rome involves multiple entities, including the Soprintendenza (Superintendency of Fine Arts), the Comune di Roma, and regional bodies. A foreign entity often struggles with the informal networks and procedural requirements necessary to navigate these agencies.</w:t>
      </w:r>
    </w:p>
    <w:p>
      <w:pPr>
        <w:numPr>
          <w:ilvl w:val="0"/>
          <w:numId w:val="1001"/>
        </w:numPr>
        <w:pStyle w:val="Compact"/>
      </w:pPr>
      <w:r>
        <w:rPr>
          <w:bCs/>
          <w:b/>
        </w:rPr>
        <w:t xml:space="preserve">Cultural Context:</w:t>
      </w:r>
      <w:r>
        <w:t xml:space="preserve"> </w:t>
      </w:r>
      <w:r>
        <w:t xml:space="preserve">Legal proceedings in Italy are not just about legal arguments; they involve a deep understanding of local customs, communication styles, and the importance of personal relationships (relazione) in professional settings. A</w:t>
      </w:r>
      <w:r>
        <w:t xml:space="preserve"> </w:t>
      </w:r>
      <w:r>
        <w:rPr>
          <w:bCs/>
          <w:b/>
        </w:rPr>
        <w:t xml:space="preserve">Lawyer</w:t>
      </w:r>
      <w:r>
        <w:t xml:space="preserve"> </w:t>
      </w:r>
      <w:r>
        <w:t xml:space="preserve">embedded in the Rome community can bridge the gap between foreign corporate expectations and local judicial realities.</w:t>
      </w:r>
    </w:p>
    <w:bookmarkEnd w:id="21"/>
    <w:bookmarkStart w:id="25" w:name="X7317d10b46d9acc7913b06126908e2fa672110e"/>
    <w:p>
      <w:pPr>
        <w:pStyle w:val="Heading2"/>
      </w:pPr>
      <w:r>
        <w:t xml:space="preserve">The Strategy: A Multi-Faceted Legal Approach</w:t>
      </w:r>
    </w:p>
    <w:p>
      <w:pPr>
        <w:pStyle w:val="FirstParagraph"/>
      </w:pPr>
      <w:r>
        <w:t xml:space="preserve">Meredian engaged a boutique firm based in Parioli, an affluent district of Rome known for hosting prestigious legal practices. The assigned lead counsel, a senior</w:t>
      </w:r>
      <w:r>
        <w:t xml:space="preserve"> </w:t>
      </w:r>
      <w:r>
        <w:rPr>
          <w:bCs/>
          <w:b/>
        </w:rPr>
        <w:t xml:space="preserve">Lawyer</w:t>
      </w:r>
      <w:r>
        <w:t xml:space="preserve"> </w:t>
      </w:r>
      <w:r>
        <w:t xml:space="preserve">with over 20 years of experience in property law within the capital, devised a three-pronged strategy.</w:t>
      </w:r>
    </w:p>
    <w:bookmarkStart w:id="22" w:name="technical-and-heritage-defense"/>
    <w:p>
      <w:pPr>
        <w:pStyle w:val="Heading3"/>
      </w:pPr>
      <w:r>
        <w:t xml:space="preserve">1. Technical and Heritage Defense</w:t>
      </w:r>
    </w:p>
    <w:p>
      <w:pPr>
        <w:pStyle w:val="FirstParagraph"/>
      </w:pPr>
      <w:r>
        <w:br/>
      </w:r>
      <w:r>
        <w:t xml:space="preserve">The first step involved commissioning an independent architectural audit. The local</w:t>
      </w:r>
      <w:r>
        <w:t xml:space="preserve"> </w:t>
      </w:r>
      <w:r>
        <w:rPr>
          <w:bCs/>
          <w:b/>
        </w:rPr>
        <w:t xml:space="preserve">Lawyer</w:t>
      </w:r>
      <w:r>
        <w:t xml:space="preserve"> </w:t>
      </w:r>
      <w:r>
        <w:t xml:space="preserve">coordinated with top-tier Italian conservators to prove that Meridian’s proposed renovations were compatible with heritage constraints, provided specific modifications were made. This technical evidence was crucial for countering the residents' injunctions.</w:t>
      </w:r>
    </w:p>
    <w:p>
      <w:pPr>
        <w:pStyle w:val="BodyText"/>
      </w:pPr>
      <w:r>
        <w:br/>
      </w:r>
    </w:p>
    <w:bookmarkEnd w:id="22"/>
    <w:bookmarkStart w:id="23" w:name="administrative-negotiation"/>
    <w:p>
      <w:pPr>
        <w:pStyle w:val="Heading3"/>
      </w:pPr>
      <w:r>
        <w:t xml:space="preserve">2. Administrative Negotiation</w:t>
      </w:r>
    </w:p>
    <w:p>
      <w:pPr>
        <w:pStyle w:val="FirstParagraph"/>
      </w:pPr>
      <w:r>
        <w:br/>
      </w:r>
      <w:r>
        <w:t xml:space="preserve">Rather than immediately engaging in a protracted battle in court, the</w:t>
      </w:r>
      <w:r>
        <w:t xml:space="preserve"> </w:t>
      </w:r>
      <w:r>
        <w:rPr>
          <w:bCs/>
          <w:b/>
        </w:rPr>
        <w:t xml:space="preserve">Lawyer</w:t>
      </w:r>
      <w:r>
        <w:t xml:space="preserve"> </w:t>
      </w:r>
      <w:r>
        <w:t xml:space="preserve">initiated direct negotiations with the Soprintendenza and municipal officials. Leveraging years of professional relationships established within the Rome administration, they secured a provisional permit for construction while the full legal review was ongoing. This approach prevented immediate work stoppages.</w:t>
      </w:r>
    </w:p>
    <w:p>
      <w:pPr>
        <w:pStyle w:val="BodyText"/>
      </w:pPr>
      <w:r>
        <w:br/>
      </w:r>
    </w:p>
    <w:bookmarkEnd w:id="23"/>
    <w:bookmarkStart w:id="24" w:name="litigation-preparedness"/>
    <w:p>
      <w:pPr>
        <w:pStyle w:val="Heading3"/>
      </w:pPr>
      <w:r>
        <w:t xml:space="preserve">3. Litigation Preparedness</w:t>
      </w:r>
    </w:p>
    <w:p>
      <w:pPr>
        <w:pStyle w:val="FirstParagraph"/>
      </w:pPr>
      <w:r>
        <w:br/>
      </w:r>
      <w:r>
        <w:t xml:space="preserve">Simultaneously, the legal team prepared for litigation in case negotiations failed. They filed an appeal against the initial injunction, arguing procedural errors in its issuance by local authorities. The argument centered on the lack of proper notification to the property owner under Italian administrative law.</w:t>
      </w:r>
    </w:p>
    <w:p>
      <w:pPr>
        <w:pStyle w:val="BodyText"/>
      </w:pPr>
      <w:r>
        <w:rPr>
          <w:bCs/>
          <w:b/>
        </w:rPr>
        <w:t xml:space="preserve">Key Insight:</w:t>
      </w:r>
      <w:r>
        <w:br/>
      </w:r>
      <w:r>
        <w:t xml:space="preserve">In complex cases involving real estate in Italy Rome, speed is often more valuable than aggressive litigation. The ability of a local Lawyer to secure provisional measures while negotiating simultaneously can save millions in potential delays and penalties.</w:t>
      </w:r>
    </w:p>
    <w:bookmarkEnd w:id="24"/>
    <w:bookmarkEnd w:id="25"/>
    <w:bookmarkStart w:id="26" w:name="the-outcome-resolution-and-precedent"/>
    <w:p>
      <w:pPr>
        <w:pStyle w:val="Heading2"/>
      </w:pPr>
      <w:r>
        <w:t xml:space="preserve">The Outcome: Resolution and Precedent</w:t>
      </w:r>
    </w:p>
    <w:p>
      <w:pPr>
        <w:pStyle w:val="FirstParagraph"/>
      </w:pPr>
      <w:r>
        <w:t xml:space="preserve">Six months after engaging the legal team, the dispute was resolved favorably for Meridian Holdings. The combination of technical proof regarding heritage compatibility and strategic administrative negotiation led to a settlement with the residents’ association. They agreed to drop their opposition in exchange for guarantees regarding noise mitigation and community contribution funds.</w:t>
      </w:r>
    </w:p>
    <w:p>
      <w:pPr>
        <w:pStyle w:val="BodyText"/>
      </w:pPr>
      <w:r>
        <w:t xml:space="preserve">Furthermore, the Soprintendenza granted full approval for the renovation plans after minor adjustments were incorporated. The Tribunal of Rome dismissed the remaining appeals as moot due to the administrative settlement, saving Meridian significant legal fees that would have been incurred in a full trial.</w:t>
      </w:r>
    </w:p>
    <w:bookmarkEnd w:id="26"/>
    <w:bookmarkStart w:id="27" w:name="lessons-learned-and-conclusion"/>
    <w:p>
      <w:pPr>
        <w:pStyle w:val="Heading2"/>
      </w:pPr>
      <w:r>
        <w:t xml:space="preserve">Lessons Learned and Conclusion</w:t>
      </w:r>
    </w:p>
    <w:p>
      <w:pPr>
        <w:pStyle w:val="FirstParagraph"/>
      </w:pPr>
      <w:r>
        <w:t xml:space="preserve">This case study underscores the critical importance of specialized legal counsel when operating in high-stakes environments. For international entities looking to invest or operate, hiring a generic firm is often insufficient. The specific context of Italy Rome requires a deep understanding of local jurisprudence, administrative bureaucracy, and cultural nuances.</w:t>
      </w:r>
    </w:p>
    <w:p>
      <w:pPr>
        <w:pStyle w:val="BodyText"/>
      </w:pPr>
      <w:r>
        <w:t xml:space="preserve">The success in this instance was not driven by the complexity of the legal argument alone, but by the strategic application of local knowledge. The</w:t>
      </w:r>
      <w:r>
        <w:t xml:space="preserve"> </w:t>
      </w:r>
      <w:r>
        <w:rPr>
          <w:bCs/>
          <w:b/>
        </w:rPr>
        <w:t xml:space="preserve">Lawyer</w:t>
      </w:r>
      <w:r>
        <w:t xml:space="preserve"> </w:t>
      </w:r>
      <w:r>
        <w:t xml:space="preserve">acted as both a legal advocate and a cultural translator, facilitating communication between an international investor and rigid local institutions. This case serves as a testament to why engaging experienced local expertise is indispensable for navigating the legal labyrinth of Italy Rome.</w:t>
      </w:r>
    </w:p>
    <w:p>
      <w:pPr>
        <w:pStyle w:val="BodyText"/>
      </w:pPr>
      <w:r>
        <w:t xml:space="preserve">In conclusion, businesses operating in or entering the Italian market must prioritize the selection of counsel who are not only legally competent but also culturally and geographically integrated into their specific operational theater. Whether dealing with heritage laws in Rome, commercial disputes in Milan, or regulatory compliance nationwide, the right</w:t>
      </w:r>
      <w:r>
        <w:t xml:space="preserve"> </w:t>
      </w:r>
      <w:r>
        <w:rPr>
          <w:bCs/>
          <w:b/>
        </w:rPr>
        <w:t xml:space="preserve">Lawyer</w:t>
      </w:r>
      <w:r>
        <w:t xml:space="preserve"> </w:t>
      </w:r>
      <w:r>
        <w:t xml:space="preserve">is a strategic asset that transforms potential liabilities into manageable challenges.</w:t>
      </w:r>
    </w:p>
    <w:p>
      <w:pPr>
        <w:pStyle w:val="BodyText"/>
      </w:pPr>
      <w:r>
        <w:rPr>
          <w:iCs/>
          <w:i/>
        </w:rPr>
        <w:t xml:space="preserve">*Disclaimer: This document is for illustrative and educational purposes only. Names of companies and individuals have been altered to protect confidentiality. It does not constitute legal advice. For actual legal matters, please consult a qualified attorney.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Italy Rome</dc:title>
  <dc:creator/>
  <dc:language>en</dc:language>
  <cp:keywords/>
  <dcterms:created xsi:type="dcterms:W3CDTF">2026-07-29T10:11:14Z</dcterms:created>
  <dcterms:modified xsi:type="dcterms:W3CDTF">2026-07-29T10:11:14Z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