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Navigation</w:t>
      </w:r>
      <w:r>
        <w:t xml:space="preserve"> </w:t>
      </w:r>
      <w:r>
        <w:t xml:space="preserve">in</w:t>
      </w:r>
      <w:r>
        <w:t xml:space="preserve"> </w:t>
      </w:r>
      <w:r>
        <w:t xml:space="preserve">Japan</w:t>
      </w:r>
      <w:r>
        <w:t xml:space="preserve"> </w:t>
      </w:r>
      <w:r>
        <w:t xml:space="preserve">Kyoto</w:t>
      </w:r>
    </w:p>
    <w:bookmarkStart w:id="31" w:name="X70b07fe8e10b555818f95f255db5c9abb04644b"/>
    <w:p>
      <w:pPr>
        <w:pStyle w:val="Heading1"/>
      </w:pPr>
      <w:r>
        <w:t xml:space="preserve">Cross-Border Property Acquisition and Dispute Resolution in Japan Kyoto</w:t>
      </w:r>
    </w:p>
    <w:p>
      <w:pPr>
        <w:pStyle w:val="FirstParagraph"/>
      </w:pPr>
      <w:r>
        <w:rPr>
          <w:bCs/>
          <w:b/>
        </w:rPr>
        <w:t xml:space="preserve">Date:</w:t>
      </w:r>
      <w:r>
        <w:t xml:space="preserve"> </w:t>
      </w:r>
      <w:r>
        <w:t xml:space="preserve">October 24, 2023</w:t>
      </w:r>
      <w:r>
        <w:br/>
      </w:r>
      <w:r>
        <w:rPr>
          <w:bCs/>
          <w:b/>
        </w:rPr>
        <w:t xml:space="preserve">Digest:</w:t>
      </w:r>
      <w:r>
        <w:t xml:space="preserve">A comprehensive analysis of a complex real estate transaction involving a foreign investor, highlighting the unique legal landscape of</w:t>
      </w:r>
      <w:r>
        <w:t xml:space="preserve"> </w:t>
      </w:r>
      <w:r>
        <w:t xml:space="preserve">Japan Kyoto</w:t>
      </w:r>
      <w:r>
        <w:t xml:space="preserve">.</w:t>
      </w:r>
    </w:p>
    <w:bookmarkStart w:id="20" w:name="executive-summary"/>
    <w:p>
      <w:pPr>
        <w:pStyle w:val="Heading2"/>
      </w:pPr>
      <w:r>
        <w:t xml:space="preserve">1. Executive Summary</w:t>
      </w:r>
    </w:p>
    <w:p>
      <w:pPr>
        <w:pStyle w:val="FirstParagraph"/>
      </w:pPr>
      <w:r>
        <w:t xml:space="preserve">This case study examines the intricate legal challenges faced by "Meridian Holdings," a fictional international investment firm, during their acquisition of a historic machiya (traditional wooden townhouse) in the Gion district of</w:t>
      </w:r>
      <w:r>
        <w:t xml:space="preserve"> </w:t>
      </w:r>
      <w:r>
        <w:t xml:space="preserve">Japan Kyoto</w:t>
      </w:r>
      <w:r>
        <w:t xml:space="preserve">. The project serves as a critical examination of how modern commercial law intersects with heritage preservation statutes in</w:t>
      </w:r>
      <w:r>
        <w:t xml:space="preserve"> </w:t>
      </w:r>
      <w:r>
        <w:t xml:space="preserve">Japan Kyoto</w:t>
      </w:r>
      <w:r>
        <w:t xml:space="preserve">. The central figure in this narrative is Senior Attorney Kenji Tanaka, whose specialized knowledge regarding local zoning laws and international contract enforcement proved decisive. This document outlines the procedural hurdles, cultural nuances, and legal strategies employed to secure the asset while maintaining compliance with strict municipal regulations.</w:t>
      </w:r>
    </w:p>
    <w:bookmarkEnd w:id="20"/>
    <w:bookmarkStart w:id="21" w:name="background-of-the-client"/>
    <w:p>
      <w:pPr>
        <w:pStyle w:val="Heading2"/>
      </w:pPr>
      <w:r>
        <w:t xml:space="preserve">2. Background of the Client</w:t>
      </w:r>
    </w:p>
    <w:p>
      <w:pPr>
        <w:pStyle w:val="FirstParagraph"/>
      </w:pPr>
      <w:r>
        <w:rPr>
          <w:bCs/>
          <w:b/>
        </w:rPr>
        <w:t xml:space="preserve">The Client:</w:t>
      </w:r>
      <w:r>
        <w:t xml:space="preserve"> </w:t>
      </w:r>
      <w:r>
        <w:t xml:space="preserve">Meridian Holdings is a boutique investment firm based in London specializing in heritage assets. Their primary objective was to convert a dilapidated but architecturally significant property into a high-end cultural boutique hotel.</w:t>
      </w:r>
    </w:p>
    <w:p>
      <w:pPr>
        <w:pStyle w:val="BodyText"/>
      </w:pPr>
      <w:r>
        <w:rPr>
          <w:bCs/>
          <w:b/>
        </w:rPr>
        <w:t xml:space="preserve">The Asset:</w:t>
      </w:r>
      <w:r>
        <w:t xml:space="preserve"> </w:t>
      </w:r>
      <w:r>
        <w:t xml:space="preserve">Located centrally within the Gion district, the property dates back to the Edo period. It is situated in an area of</w:t>
      </w:r>
      <w:r>
        <w:t xml:space="preserve"> </w:t>
      </w:r>
      <w:r>
        <w:t xml:space="preserve">Japan Kyoto</w:t>
      </w:r>
      <w:r>
        <w:t xml:space="preserve"> </w:t>
      </w:r>
      <w:r>
        <w:t xml:space="preserve">that is heavily protected due to its historical value. The land registry was fragmented, involving multiple heirs who held partial rights through inheritance laws that had not been updated since the post-war era.</w:t>
      </w:r>
    </w:p>
    <w:bookmarkEnd w:id="21"/>
    <w:bookmarkStart w:id="22" w:name="legal-challenges-and-obstacles"/>
    <w:p>
      <w:pPr>
        <w:pStyle w:val="Heading2"/>
      </w:pPr>
      <w:r>
        <w:t xml:space="preserve">3. Legal Challenges and Obstacles</w:t>
      </w:r>
    </w:p>
    <w:p>
      <w:pPr>
        <w:pStyle w:val="FirstParagraph"/>
      </w:pPr>
      <w:r>
        <w:t xml:space="preserve">The acquisition process presented several distinct legal barriers unique to the jurisdiction of</w:t>
      </w:r>
      <w:r>
        <w:t xml:space="preserve"> </w:t>
      </w:r>
      <w:r>
        <w:t xml:space="preserve">Japan Kyoto</w:t>
      </w:r>
      <w:r>
        <w:t xml:space="preserve">:</w:t>
      </w:r>
    </w:p>
    <w:p>
      <w:pPr>
        <w:numPr>
          <w:ilvl w:val="0"/>
          <w:numId w:val="1001"/>
        </w:numPr>
        <w:pStyle w:val="Compact"/>
      </w:pPr>
      <w:r>
        <w:rPr>
          <w:bCs/>
          <w:b/>
        </w:rPr>
        <w:t xml:space="preserve">Cultural Preservation Restrictions:</w:t>
      </w:r>
      <w:r>
        <w:br/>
      </w:r>
      <w:r>
        <w:t xml:space="preserve">In many parts of Japan, property development is relatively straightforward. However, in this specific district of</w:t>
      </w:r>
      <w:r>
        <w:t xml:space="preserve"> </w:t>
      </w:r>
      <w:r>
        <w:t xml:space="preserve">Japan Kyoto</w:t>
      </w:r>
      <w:r>
        <w:t xml:space="preserve">, the "Kyoto City Landscape Ordinance" imposes severe restrictions on exterior modifications. Any change to the facade requires a complex permit process involving local heritage committees.</w:t>
      </w:r>
    </w:p>
    <w:p>
      <w:pPr>
        <w:numPr>
          <w:ilvl w:val="0"/>
          <w:numId w:val="1001"/>
        </w:numPr>
        <w:pStyle w:val="Compact"/>
      </w:pPr>
      <w:r>
        <w:rPr>
          <w:bCs/>
          <w:b/>
        </w:rPr>
        <w:t xml:space="preserve">Complex Inheritance Structures:</w:t>
      </w:r>
      <w:r>
        <w:br/>
      </w:r>
      <w:r>
        <w:t xml:space="preserve">The seller was not a single entity but a group of six distant relatives who had inherited the property jointly. Under Japanese inheritance law, all co-owners must agree to sell for the transaction to proceed. One heir, residing in Osaka, was difficult to locate and initially resistant due to sentimental attachment.</w:t>
      </w:r>
    </w:p>
    <w:p>
      <w:pPr>
        <w:numPr>
          <w:ilvl w:val="0"/>
          <w:numId w:val="1001"/>
        </w:numPr>
        <w:pStyle w:val="Compact"/>
      </w:pPr>
      <w:r>
        <w:rPr>
          <w:bCs/>
          <w:b/>
        </w:rPr>
        <w:t xml:space="preserve">Zoning and Hotel Licensing:</w:t>
      </w:r>
      <w:r>
        <w:br/>
      </w:r>
      <w:r>
        <w:t xml:space="preserve">Converting residential property into commercial hospitality use requires a hotel license under the Hotel Business Act. In</w:t>
      </w:r>
      <w:r>
        <w:t xml:space="preserve"> </w:t>
      </w:r>
      <w:r>
        <w:t xml:space="preserve">Japan Kyoto</w:t>
      </w:r>
      <w:r>
        <w:t xml:space="preserve">, obtaining this license for a wooden structure in a dense urban area requires meeting stringent fire safety codes that are often difficult to retrofit without compromising historical integrity.</w:t>
      </w:r>
    </w:p>
    <w:bookmarkEnd w:id="22"/>
    <w:bookmarkStart w:id="26" w:name="the-role-of-the-lawyer"/>
    <w:p>
      <w:pPr>
        <w:pStyle w:val="Heading2"/>
      </w:pPr>
      <w:r>
        <w:t xml:space="preserve">4. The Role of the Lawyer</w:t>
      </w:r>
    </w:p>
    <w:p>
      <w:pPr>
        <w:pStyle w:val="FirstParagraph"/>
      </w:pPr>
      <w:r>
        <w:t xml:space="preserve">The engagement of a specialized lawyer was not merely procedural but strategic. Attorney Kenji Tanaka, a partner at a prominent firm in downtown Kyoto, was brought on board to navigate the intersection of international investment law and local municipal codes.</w:t>
      </w:r>
    </w:p>
    <w:bookmarkStart w:id="23" w:name="strategic-negotiation"/>
    <w:p>
      <w:pPr>
        <w:pStyle w:val="Heading3"/>
      </w:pPr>
      <w:r>
        <w:t xml:space="preserve">4.1 Strategic Negotiation</w:t>
      </w:r>
    </w:p>
    <w:p>
      <w:pPr>
        <w:pStyle w:val="FirstParagraph"/>
      </w:pPr>
      <w:r>
        <w:t xml:space="preserve">The lawyer’s first task was unifying the heirs. Using traditional mediation techniques respected in Japanese culture, Tanaka-san arranged face-to-face meetings rather than relying solely on written correspondence. He framed the sale not just as a financial transaction, but as a legacy preservation plan, reassuring the resistant heir that Meridian Holdings would commit to maintaining specific architectural features.</w:t>
      </w:r>
    </w:p>
    <w:bookmarkEnd w:id="23"/>
    <w:bookmarkStart w:id="24" w:name="regulatory-navigation"/>
    <w:p>
      <w:pPr>
        <w:pStyle w:val="Heading3"/>
      </w:pPr>
      <w:r>
        <w:t xml:space="preserve">4.2 Regulatory Navigation</w:t>
      </w:r>
    </w:p>
    <w:p>
      <w:pPr>
        <w:pStyle w:val="FirstParagraph"/>
      </w:pPr>
      <w:r>
        <w:t xml:space="preserve">Tanaka collaborated with urban planners to design a renovation plan that satisfied both the fire safety requirements and the heritage committee in</w:t>
      </w:r>
      <w:r>
        <w:t xml:space="preserve"> </w:t>
      </w:r>
      <w:r>
        <w:t xml:space="preserve">Japan Kyoto</w:t>
      </w:r>
      <w:r>
        <w:t xml:space="preserve">. The lawyer identified precedents where similar exceptions had been granted for buildings of comparable historical significance, allowing for alternative ventilation systems instead of full structural demolition.</w:t>
      </w:r>
    </w:p>
    <w:bookmarkEnd w:id="24"/>
    <w:bookmarkStart w:id="25" w:name="contractual-precision"/>
    <w:p>
      <w:pPr>
        <w:pStyle w:val="Heading3"/>
      </w:pPr>
      <w:r>
        <w:t xml:space="preserve">4.3 Contractual Precision</w:t>
      </w:r>
    </w:p>
    <w:p>
      <w:pPr>
        <w:pStyle w:val="FirstParagraph"/>
      </w:pPr>
      <w:r>
        <w:t xml:space="preserve">The purchase agreement included specific clauses addressing the "Kyoto Context." These included indemnity clauses regarding potential disputes with neighbors concerning noise and privacy—common issues in dense machiya neighborhoods. The lawyer also drafted a long-term leaseback agreement for one heir, ensuring their continued financial interest while clearing the title for commercial operation.</w:t>
      </w:r>
    </w:p>
    <w:bookmarkEnd w:id="25"/>
    <w:bookmarkEnd w:id="26"/>
    <w:bookmarkStart w:id="27" w:name="outcome-and-resolution"/>
    <w:p>
      <w:pPr>
        <w:pStyle w:val="Heading2"/>
      </w:pPr>
      <w:r>
        <w:t xml:space="preserve">5. Outcome and Resolution</w:t>
      </w:r>
    </w:p>
    <w:p>
      <w:pPr>
        <w:pStyle w:val="FirstParagraph"/>
      </w:pPr>
      <w:r>
        <w:t xml:space="preserve">The transaction was successfully closed within nine months, significantly faster than the typical two-year timeline for such heritage properties in this region of</w:t>
      </w:r>
      <w:r>
        <w:t xml:space="preserve"> </w:t>
      </w:r>
      <w:r>
        <w:t xml:space="preserve">Japan Kyoto</w:t>
      </w:r>
      <w:r>
        <w:t xml:space="preserve">. The lawyer’s proactive engagement with local officials prevented initial permit rejections that had stalled previous buyers.</w:t>
      </w:r>
    </w:p>
    <w:p>
      <w:pPr>
        <w:numPr>
          <w:ilvl w:val="0"/>
          <w:numId w:val="1002"/>
        </w:numPr>
        <w:pStyle w:val="Compact"/>
      </w:pPr>
      <w:r>
        <w:rPr>
          <w:bCs/>
          <w:b/>
        </w:rPr>
        <w:t xml:space="preserve">Title Security:</w:t>
      </w:r>
      <w:r>
        <w:t xml:space="preserve"> </w:t>
      </w:r>
      <w:r>
        <w:t xml:space="preserve">Clear title was established, satisfying Meridian Holdings’ investors.</w:t>
      </w:r>
    </w:p>
    <w:p>
      <w:pPr>
        <w:numPr>
          <w:ilvl w:val="0"/>
          <w:numId w:val="1002"/>
        </w:numPr>
        <w:pStyle w:val="Compact"/>
      </w:pPr>
      <w:r>
        <w:rPr>
          <w:bCs/>
          <w:b/>
        </w:rPr>
        <w:t xml:space="preserve">Licensing Approval:</w:t>
      </w:r>
      <w:r>
        <w:t xml:space="preserve"> </w:t>
      </w:r>
      <w:r>
        <w:t xml:space="preserve">The hotel license was granted in six months post-closing due to the robustness of the application prepared by the legal team.</w:t>
      </w:r>
    </w:p>
    <w:p>
      <w:pPr>
        <w:numPr>
          <w:ilvl w:val="0"/>
          <w:numId w:val="1002"/>
        </w:numPr>
        <w:pStyle w:val="Compact"/>
      </w:pPr>
      <w:r>
        <w:rPr>
          <w:bCs/>
          <w:b/>
        </w:rPr>
        <w:t xml:space="preserve">Cultural Integration:</w:t>
      </w:r>
      <w:r>
        <w:t xml:space="preserve"> </w:t>
      </w:r>
      <w:r>
        <w:t xml:space="preserve">The property opened as a successful cultural hub, praised for respecting local traditions while offering modern amenities.</w:t>
      </w:r>
    </w:p>
    <w:bookmarkEnd w:id="27"/>
    <w:bookmarkStart w:id="29" w:name="key-lessons-learned"/>
    <w:p>
      <w:pPr>
        <w:pStyle w:val="Heading2"/>
      </w:pPr>
      <w:r>
        <w:t xml:space="preserve">6. Key Lessons Learned</w:t>
      </w:r>
    </w:p>
    <w:p>
      <w:pPr>
        <w:pStyle w:val="FirstParagraph"/>
      </w:pPr>
      <w:r>
        <w:t xml:space="preserve">This case study offers three critical lessons for international investors and legal practitioners dealing with property in</w:t>
      </w:r>
      <w:r>
        <w:t xml:space="preserve"> </w:t>
      </w:r>
      <w:r>
        <w:t xml:space="preserve">Japan Kyoto</w:t>
      </w:r>
      <w:r>
        <w:t xml:space="preserve">:</w:t>
      </w:r>
    </w:p>
    <w:p>
      <w:pPr>
        <w:numPr>
          <w:ilvl w:val="0"/>
          <w:numId w:val="1003"/>
        </w:numPr>
        <w:pStyle w:val="Compact"/>
      </w:pPr>
      <w:r>
        <w:rPr>
          <w:bCs/>
          <w:b/>
        </w:rPr>
        <w:t xml:space="preserve">Cultural Sensitivity is Legal Strategy:</w:t>
      </w:r>
      <w:r>
        <w:br/>
      </w:r>
      <w:r>
        <w:t xml:space="preserve">In the context of Japanese law, particularly regarding inheritance and neighborly relations, technical legal rights often yield to social harmony. A lawyer must understand the cultural weight of "wa" (harmony) in negotiations.</w:t>
      </w:r>
    </w:p>
    <w:p>
      <w:pPr>
        <w:numPr>
          <w:ilvl w:val="0"/>
          <w:numId w:val="1003"/>
        </w:numPr>
        <w:pStyle w:val="Compact"/>
      </w:pPr>
      <w:r>
        <w:rPr>
          <w:bCs/>
          <w:b/>
        </w:rPr>
        <w:t xml:space="preserve">Local Ordinance Expertise is Paramount:</w:t>
      </w:r>
      <w:r>
        <w:br/>
      </w:r>
      <w:r>
        <w:t xml:space="preserve">General corporate lawyers often underestimate the impact of municipal ordinances like those in</w:t>
      </w:r>
      <w:r>
        <w:t xml:space="preserve"> </w:t>
      </w:r>
      <w:r>
        <w:t xml:space="preserve">Japan Kyoto</w:t>
      </w:r>
      <w:r>
        <w:t xml:space="preserve">. Local zoning laws can supersede national building codes, making local counsel indispensable.</w:t>
      </w:r>
    </w:p>
    <w:p>
      <w:pPr>
        <w:numPr>
          <w:ilvl w:val="0"/>
          <w:numId w:val="1003"/>
        </w:numPr>
        <w:pStyle w:val="Compact"/>
      </w:pPr>
      <w:r>
        <w:rPr>
          <w:bCs/>
          <w:b/>
        </w:rPr>
        <w:t xml:space="preserve">Early Stakeholder Engagement:</w:t>
      </w:r>
      <w:r>
        <w:br/>
      </w:r>
      <w:r>
        <w:t xml:space="preserve">Involving heritage committees and potential neighbors at the pre-acquisition stage can identify deal-breakers early. The lawyer’s role expanded from contract drafter to community liaison, which was vital for success.</w:t>
      </w:r>
    </w:p>
    <w:bookmarkStart w:id="28" w:name="conclusion"/>
    <w:p>
      <w:pPr>
        <w:pStyle w:val="Heading3"/>
      </w:pPr>
      <w:r>
        <w:t xml:space="preserve">Conclusion</w:t>
      </w:r>
    </w:p>
    <w:p>
      <w:pPr>
        <w:pStyle w:val="FirstParagraph"/>
      </w:pPr>
      <w:r>
        <w:t xml:space="preserve">The successful acquisition by Meridian Holdings underscores that in the unique legal environment of</w:t>
      </w:r>
      <w:r>
        <w:t xml:space="preserve"> </w:t>
      </w:r>
      <w:r>
        <w:t xml:space="preserve">Japan Kyoto</w:t>
      </w:r>
      <w:r>
        <w:t xml:space="preserve">, a lawyer is more than an advisor on statutes; they are a cultural interpreter and strategic negotiator. The interplay between preserving history and enabling modern commerce requires deep local expertise. For any entity looking to invest in real estate here, understanding the specific regulatory framework of</w:t>
      </w:r>
      <w:r>
        <w:t xml:space="preserve"> </w:t>
      </w:r>
      <w:r>
        <w:t xml:space="preserve">Japan Kyoto</w:t>
      </w:r>
      <w:r>
        <w:t xml:space="preserve"> </w:t>
      </w:r>
      <w:r>
        <w:t xml:space="preserve">through competent legal representation is not optional—it is the foundation of viability.</w:t>
      </w:r>
    </w:p>
    <w:bookmarkEnd w:id="28"/>
    <w:bookmarkEnd w:id="29"/>
    <w:bookmarkStart w:id="30" w:name="references-and-further-reading"/>
    <w:p>
      <w:pPr>
        <w:pStyle w:val="Heading2"/>
      </w:pPr>
      <w:r>
        <w:t xml:space="preserve">7. References and Further Reading</w:t>
      </w:r>
    </w:p>
    <w:p>
      <w:pPr>
        <w:numPr>
          <w:ilvl w:val="0"/>
          <w:numId w:val="1004"/>
        </w:numPr>
        <w:pStyle w:val="Compact"/>
      </w:pPr>
      <w:r>
        <w:t xml:space="preserve">Kyoto City Landscape Ordinance (Revised 2018)</w:t>
      </w:r>
    </w:p>
    <w:p>
      <w:pPr>
        <w:numPr>
          <w:ilvl w:val="0"/>
          <w:numId w:val="1004"/>
        </w:numPr>
        <w:pStyle w:val="Compact"/>
      </w:pPr>
      <w:r>
        <w:t xml:space="preserve">The Hotel Business Act of Japan</w:t>
      </w:r>
    </w:p>
    <w:p>
      <w:pPr>
        <w:numPr>
          <w:ilvl w:val="0"/>
          <w:numId w:val="1004"/>
        </w:numPr>
        <w:pStyle w:val="Compact"/>
      </w:pPr>
      <w:r>
        <w:t xml:space="preserve">Civil Code of Japan, Articles on Inheritance and Co-ownership</w:t>
      </w:r>
    </w:p>
    <w:p>
      <w:pPr>
        <w:numPr>
          <w:ilvl w:val="0"/>
          <w:numId w:val="1004"/>
        </w:numPr>
        <w:pStyle w:val="Compact"/>
      </w:pPr>
      <w:r>
        <w:t xml:space="preserve">JETRO Guide to Doing Business in Kyoto Prefecture</w:t>
      </w:r>
    </w:p>
    <w:p>
      <w:pPr>
        <w:pStyle w:val="FirstParagraph"/>
      </w:pPr>
      <w:r>
        <w:t xml:space="preserve">© 2023 Legal Insights Group. All rights reserved. This document is for informational purposes only and does not constitute legal advice.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Navigation in Japan Kyoto</dc:title>
  <dc:creator/>
  <dc:language>en</dc:language>
  <cp:keywords/>
  <dcterms:created xsi:type="dcterms:W3CDTF">2026-07-29T08:52:40Z</dcterms:created>
  <dcterms:modified xsi:type="dcterms:W3CDTF">2026-07-29T08:52:40Z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