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in</w:t>
      </w:r>
      <w:r>
        <w:t xml:space="preserve"> </w:t>
      </w:r>
      <w:r>
        <w:t xml:space="preserve">Japan,</w:t>
      </w:r>
      <w:r>
        <w:t xml:space="preserve"> </w:t>
      </w:r>
      <w:r>
        <w:t xml:space="preserve">Osaka</w:t>
      </w:r>
    </w:p>
    <w:bookmarkStart w:id="29" w:name="Xa517650dcd83dcd7479e80d00eff0b897dddaee"/>
    <w:p>
      <w:pPr>
        <w:pStyle w:val="Heading1"/>
      </w:pPr>
      <w:r>
        <w:t xml:space="preserve">Case Study: Navigating Complex Corporate Litigation and Cultural Nuances in a Japan, Osaka Lawyer Consultation</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Japan (Specifically Osaka)</w:t>
      </w:r>
      <w:r>
        <w:br/>
      </w:r>
      <w:r>
        <w:rPr>
          <w:bCs/>
          <w:b/>
        </w:rPr>
        <w:t xml:space="preserve">Subject:</w:t>
      </w:r>
      <w:r>
        <w:t xml:space="preserve"> </w:t>
      </w:r>
      <w:r>
        <w:t xml:space="preserve">Corporate Dispute Resolution and Cross-Border Contract Enforcement</w:t>
      </w:r>
    </w:p>
    <w:bookmarkStart w:id="20" w:name="executive-summary"/>
    <w:p>
      <w:pPr>
        <w:pStyle w:val="Heading2"/>
      </w:pPr>
      <w:r>
        <w:t xml:space="preserve">Executive Summary</w:t>
      </w:r>
    </w:p>
    <w:p>
      <w:pPr>
        <w:pStyle w:val="FirstParagraph"/>
      </w:pPr>
      <w:r>
        <w:t xml:space="preserve">This case study examines the intricate legal proceedings surrounding a multinational supply chain dispute that originated in the bustling commercial heart of Japan, specifically within the metropolitan area of Osaka. The primary objective of this document is to analyze how specialized knowledge by a qualified Lawyer operating in Japan, Osaka context, can significantly alter the outcome of international business conflicts. By focusing on local judicial procedures, cultural expectations of negotiation (wa), and specific regional legal precedents set in Osaka courts, this study demonstrates that effective legal representation requires far more than mere translation of laws; it demands deep immersion in the local jurisdictional landscape.</w:t>
      </w:r>
    </w:p>
    <w:bookmarkEnd w:id="20"/>
    <w:bookmarkStart w:id="21" w:name="background-the-parties-involved"/>
    <w:p>
      <w:pPr>
        <w:pStyle w:val="Heading2"/>
      </w:pPr>
      <w:r>
        <w:t xml:space="preserve">Background: The Parties Involved</w:t>
      </w:r>
    </w:p>
    <w:p>
      <w:pPr>
        <w:pStyle w:val="FirstParagraph"/>
      </w:pPr>
      <w:r>
        <w:t xml:space="preserve">The dispute involved two primary entities: "GlobalTech Solutions," a United States-based technology hardware manufacturer, and "Osaka Precision Components Ltd. (OPCL)," a long-standing supplier based in the Kita ward of Osaka, Japan. For over fifteen years, OPCL had served as GlobalTech’s exclusive supplier for high-precision micro-machinery parts. The relationship was governed by a standard supply agreement that included arbitration clauses favoring international mediation but contained ambiguous language regarding force majeure events related to supply chain disruptions.</w:t>
      </w:r>
    </w:p>
    <w:p>
      <w:pPr>
        <w:pStyle w:val="BodyText"/>
      </w:pPr>
      <w:r>
        <w:t xml:space="preserve">In early 2023, due to unforeseen logistical bottlenecks and raw material shortages exacerbated by global economic shifts, OPCL failed to meet delivery deadlines for three consecutive quarters. GlobalTech sought damages totaling $4.5 million, citing breach of contract. However, OPCL argued that the delays were caused by circumstances beyond their control and invoked local Japanese labor laws which protected them from immediate penalty due to seasonal worker shortages unique to the Kansai region during fiscal year-end processing.</w:t>
      </w:r>
    </w:p>
    <w:bookmarkEnd w:id="21"/>
    <w:bookmarkStart w:id="24" w:name="Xa7125fd1d19730dbeaf1425b56aa88826e63afa"/>
    <w:p>
      <w:pPr>
        <w:pStyle w:val="Heading2"/>
      </w:pPr>
      <w:r>
        <w:t xml:space="preserve">The Legal Challenge: Why a Local Japan Osaka Lawyer Was Crucial</w:t>
      </w:r>
    </w:p>
    <w:p>
      <w:pPr>
        <w:pStyle w:val="FirstParagraph"/>
      </w:pPr>
      <w:r>
        <w:t xml:space="preserve">GlobalTech initially attempted to resolve the issue through their in-house legal team in New York. However, this approach failed for several reasons that highlight the necessity of engaging a Lawyer with specific expertise in Japan, Osaka jurisdictional practices.</w:t>
      </w:r>
    </w:p>
    <w:bookmarkStart w:id="22" w:name="Xf7087bd3a3e46d990e128b132bc02ad68dc4a65"/>
    <w:p>
      <w:pPr>
        <w:pStyle w:val="Heading3"/>
      </w:pPr>
      <w:r>
        <w:t xml:space="preserve">1. Misinterpretation of "Good Faith" Negotiations</w:t>
      </w:r>
    </w:p>
    <w:p>
      <w:pPr>
        <w:pStyle w:val="FirstParagraph"/>
      </w:pPr>
      <w:r>
        <w:t xml:space="preserve">In Western legal frameworks, contractual obligations are often viewed through a binary lens of breach or compliance. However, in Japan, the concept of *Shugi* (justice/fairness) and *Wa* (harmony) plays a pivotal role in dispute resolution. The initial American legal strategy was aggressively adversarial, sending formal demand letters that were perceived by OPCL not just as a legal threat, but as a severe breach of social etiquette and business honor. This cultural misstep hardened OPCL’s stance, making settlement impossible without high-level intervention.</w:t>
      </w:r>
    </w:p>
    <w:p>
      <w:pPr>
        <w:pStyle w:val="BodyText"/>
      </w:pPr>
      <w:r>
        <w:t xml:space="preserve">A Lawyer familiar with Japan, Osaka business culture understands that direct confrontation often leads to deadlock. The local counsel recognized that the solution lay not in immediate litigation but in a structured, face-saving negotiation process known as *Naiwa* (internal resolution), which is highly valued in Osaka’s merchant tradition.</w:t>
      </w:r>
    </w:p>
    <w:bookmarkEnd w:id="22"/>
    <w:bookmarkStart w:id="23" w:name="Xa58ed51b9cf1cdb609a26187d871b4c7d16dd2e"/>
    <w:p>
      <w:pPr>
        <w:pStyle w:val="Heading3"/>
      </w:pPr>
      <w:r>
        <w:t xml:space="preserve">2. Nuances of the Osaka District Court System</w:t>
      </w:r>
    </w:p>
    <w:p>
      <w:pPr>
        <w:pStyle w:val="FirstParagraph"/>
      </w:pPr>
      <w:r>
        <w:t xml:space="preserve">When mediation failed, GlobalTech threatened to file suit in the Tokyo District Court, assuming it offered more neutral ground for international parties. However, a strategic Lawyer specializing in Japan, Osaka legal affairs advised against this. The case facts were heavily tied to OPCL’s operations and witnesses located entirely within Osaka. Filing in Tokyo would have incurred exorbitant costs and delayed proceedings significantly.</w:t>
      </w:r>
    </w:p>
    <w:p>
      <w:pPr>
        <w:pStyle w:val="BodyText"/>
      </w:pPr>
      <w:r>
        <w:t xml:space="preserve">Furthermore, Judges in the Osaka District Court possess specific regional expertise regarding commercial disputes arising from the Kansai industrial zone. By retaining a Lawyer who had previously practiced before these judges, GlobalTech gained an advantage in understanding the procedural tempo and evidentiary expectations unique to Osaka courts compared to Tokyo.</w:t>
      </w:r>
    </w:p>
    <w:bookmarkEnd w:id="23"/>
    <w:bookmarkEnd w:id="24"/>
    <w:bookmarkStart w:id="25" w:name="the-intervention-strategy-and-execution"/>
    <w:p>
      <w:pPr>
        <w:pStyle w:val="Heading2"/>
      </w:pPr>
      <w:r>
        <w:t xml:space="preserve">The Intervention: Strategy and Execution</w:t>
      </w:r>
    </w:p>
    <w:p>
      <w:pPr>
        <w:pStyle w:val="FirstParagraph"/>
      </w:pPr>
      <w:r>
        <w:t xml:space="preserve">Hiring a specialized Lawyer from Japan, Osaka changed the trajectory of the case. The new legal team implemented a three-phased strategy:</w:t>
      </w:r>
    </w:p>
    <w:p>
      <w:pPr>
        <w:numPr>
          <w:ilvl w:val="0"/>
          <w:numId w:val="1001"/>
        </w:numPr>
        <w:pStyle w:val="Compact"/>
      </w:pPr>
      <w:r>
        <w:rPr>
          <w:bCs/>
          <w:b/>
        </w:rPr>
        <w:t xml:space="preserve">Cultural Bridge-Building:</w:t>
      </w:r>
      <w:r>
        <w:t xml:space="preserve"> </w:t>
      </w:r>
      <w:r>
        <w:t xml:space="preserve">The Lawyer arranged a high-level meeting between the CEOs of both companies in Osaka, rather than relying on email correspondence. This restored the personal element of the business relationship, acknowledging OPCL’s long-standing contribution to GlobalTech.</w:t>
      </w:r>
    </w:p>
    <w:p>
      <w:pPr>
        <w:numPr>
          <w:ilvl w:val="0"/>
          <w:numId w:val="1001"/>
        </w:numPr>
        <w:pStyle w:val="Compact"/>
      </w:pPr>
      <w:r>
        <w:rPr>
          <w:bCs/>
          <w:b/>
        </w:rPr>
        <w:t xml:space="preserve">Legal Reclassification:</w:t>
      </w:r>
      <w:r>
        <w:t xml:space="preserve"> </w:t>
      </w:r>
      <w:r>
        <w:t xml:space="preserve">The Lawyer re-evaluated the contract under Japanese Civil Code Article 536 regarding risk allocation in sales contracts. They successfully argued that while delivery was delayed, the risk of loss had not technically transferred, mitigating GlobalTech’s claim for full punitive damages.</w:t>
      </w:r>
    </w:p>
    <w:p>
      <w:pPr>
        <w:numPr>
          <w:ilvl w:val="0"/>
          <w:numId w:val="1001"/>
        </w:numPr>
        <w:pStyle w:val="Compact"/>
      </w:pPr>
      <w:r>
        <w:rPr>
          <w:bCs/>
          <w:b/>
        </w:rPr>
        <w:t xml:space="preserve">Leveraging Local Precedents:</w:t>
      </w:r>
      <w:r>
        <w:t xml:space="preserve"> </w:t>
      </w:r>
      <w:r>
        <w:t xml:space="preserve">The Lawyer cited recent precedents from the Osaka High Court regarding "reasonable effort" clauses in supply chains. These precedents favored suppliers who demonstrated active mitigation efforts, which OPCL had done by securing alternative raw materials at higher costs.</w:t>
      </w:r>
    </w:p>
    <w:bookmarkEnd w:id="25"/>
    <w:bookmarkStart w:id="26" w:name="the-outcome"/>
    <w:p>
      <w:pPr>
        <w:pStyle w:val="Heading2"/>
      </w:pPr>
      <w:r>
        <w:t xml:space="preserve">The Outcome</w:t>
      </w:r>
    </w:p>
    <w:p>
      <w:pPr>
        <w:pStyle w:val="FirstParagraph"/>
      </w:pPr>
      <w:r>
        <w:t xml:space="preserve">The case did not proceed to a full trial. Instead, through the skilled negotiation of the Japan-based Lawyer, a settlement was reached within six weeks. GlobalTech agreed to reduce damages by 60%, recognizing the partial fault in their own forecasting models. In return, OPCL provided exclusive priority access to new inventory for twelve months and waived future penalty claims related to minor logistical delays.</w:t>
      </w:r>
    </w:p>
    <w:p>
      <w:pPr>
        <w:pStyle w:val="BodyText"/>
      </w:pPr>
      <w:r>
        <w:t xml:space="preserve">Crucially, the business relationship was preserved. Both companies issued a joint statement praising the "constructive dialogue" facilitated by local legal counsel, highlighting that the dispute resolution enhanced rather than destroyed their partnership.</w:t>
      </w:r>
    </w:p>
    <w:bookmarkEnd w:id="26"/>
    <w:bookmarkStart w:id="27" w:name="Xd17936c6345dcd6f19dfcbae663e217ff507ad4"/>
    <w:p>
      <w:pPr>
        <w:pStyle w:val="Heading2"/>
      </w:pPr>
      <w:r>
        <w:t xml:space="preserve">Key Takeaways for International Businesses</w:t>
      </w:r>
    </w:p>
    <w:p>
      <w:pPr>
        <w:pStyle w:val="FirstParagraph"/>
      </w:pPr>
      <w:r>
        <w:rPr>
          <w:bCs/>
          <w:b/>
        </w:rPr>
        <w:t xml:space="preserve">1. Localization is Non-Negotiable:</w:t>
      </w:r>
      <w:r>
        <w:br/>
      </w:r>
      <w:r>
        <w:t xml:space="preserve">Attempting to manage legal disputes in Japan with foreign-centric strategies often leads to escalation. A Lawyer who understands the specific nuances of Japan, Osaka business etiquette can de-escalate tensions that global lawyers might inadvertently inflame.</w:t>
      </w:r>
      <w:r>
        <w:br/>
      </w:r>
      <w:r>
        <w:br/>
      </w:r>
      <w:r>
        <w:rPr>
          <w:bCs/>
          <w:b/>
        </w:rPr>
        <w:t xml:space="preserve">2. Regional Expertise Matters:</w:t>
      </w:r>
      <w:r>
        <w:br/>
      </w:r>
      <w:r>
        <w:t xml:space="preserve">Legal practices can vary between prefectures in Japan. Osaka has a distinct commercial history rooted in merchant culture (*Machi-shū*) which influences how disputes are perceived and resolved compared to the bureaucratic style of Tokyo. A Lawyer with roots or extensive experience in Japan, Osaka is better equipped to navigate these subtle but critical differences.</w:t>
      </w:r>
      <w:r>
        <w:br/>
      </w:r>
      <w:r>
        <w:br/>
      </w:r>
      <w:r>
        <w:rPr>
          <w:bCs/>
          <w:b/>
        </w:rPr>
        <w:t xml:space="preserve">3. Early Intervention:</w:t>
      </w:r>
      <w:r>
        <w:br/>
      </w:r>
      <w:r>
        <w:t xml:space="preserve">The case study illustrates that bringing in a Lawyer at the first sign of contract friction allows for strategic alignment with local laws and cultural norms, preventing the entrenchment of hostile positions that make settlement difficult later on.</w:t>
      </w:r>
    </w:p>
    <w:bookmarkEnd w:id="27"/>
    <w:bookmarkStart w:id="28" w:name="conclusion"/>
    <w:p>
      <w:pPr>
        <w:pStyle w:val="Heading2"/>
      </w:pPr>
      <w:r>
        <w:t xml:space="preserve">Conclusion</w:t>
      </w:r>
    </w:p>
    <w:p>
      <w:pPr>
        <w:pStyle w:val="FirstParagraph"/>
      </w:pPr>
      <w:r>
        <w:t xml:space="preserve">This Case Study underscores that in complex international disputes involving Japan, especially in a commercial hub like Osaka, the identity and strategy of one's Lawyer are paramount. The success of GlobalTech Solutions was not due to the strength of their legal arguments alone, but due to the cultural intelligence and regional legal expertise provided by a Lawyer adept at operating within the specific framework of Japan, Osaka. For any entity conducting business in this region, investing in local legal counsel is not merely an administrative necessity but a strategic imperative for sustainable international commerce.</w:t>
      </w:r>
    </w:p>
    <w:p>
      <w:pPr>
        <w:pStyle w:val="BodyText"/>
      </w:pPr>
      <w:r>
        <w:rPr>
          <w:iCs/>
          <w:i/>
        </w:rPr>
        <w:t xml:space="preserve">Disclaimer: This document is for informational purposes only and does not constitute legal advice. Specific cases should always be reviewed by qualified legal professionals licensed to practice law in the relevant jurisdiction.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in Japan, Osaka</dc:title>
  <dc:creator/>
  <dc:language>en</dc:language>
  <cp:keywords/>
  <dcterms:created xsi:type="dcterms:W3CDTF">2026-07-29T10:09:11Z</dcterms:created>
  <dcterms:modified xsi:type="dcterms:W3CDTF">2026-07-29T10:09:11Z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