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Corporate</w:t>
      </w:r>
      <w:r>
        <w:t xml:space="preserve"> </w:t>
      </w:r>
      <w:r>
        <w:t xml:space="preserve">Litigation</w:t>
      </w:r>
      <w:r>
        <w:t xml:space="preserve"> </w:t>
      </w:r>
      <w:r>
        <w:t xml:space="preserve">in</w:t>
      </w:r>
      <w:r>
        <w:t xml:space="preserve"> </w:t>
      </w:r>
      <w:r>
        <w:t xml:space="preserve">Japan</w:t>
      </w:r>
      <w:r>
        <w:t xml:space="preserve"> </w:t>
      </w:r>
      <w:r>
        <w:t xml:space="preserve">Tokyo</w:t>
      </w:r>
    </w:p>
    <w:bookmarkStart w:id="30" w:name="Xadf6c36f997a28779ce0f403a3cb178225b57d3"/>
    <w:p>
      <w:pPr>
        <w:pStyle w:val="Heading1"/>
      </w:pPr>
      <w:r>
        <w:t xml:space="preserve">Case Study: Strategic Legal Representation for International Expansion in Japan Tokyo</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Japan, Tokyo</w:t>
      </w:r>
      <w:r>
        <w:br/>
      </w:r>
      <w:r>
        <w:rPr>
          <w:bCs/>
          <w:b/>
        </w:rPr>
        <w:t xml:space="preserve">Type:</w:t>
      </w:r>
      <w:r>
        <w:t xml:space="preserve"> </w:t>
      </w:r>
      <w:r>
        <w:t xml:space="preserve">Corporate Law &amp; Cross-Border Dispute Resolution</w:t>
      </w:r>
    </w:p>
    <w:bookmarkStart w:id="20" w:name="executive-summary"/>
    <w:p>
      <w:pPr>
        <w:pStyle w:val="Heading2"/>
      </w:pPr>
      <w:r>
        <w:t xml:space="preserve">1. Executive Summary</w:t>
      </w:r>
    </w:p>
    <w:p>
      <w:pPr>
        <w:pStyle w:val="FirstParagraph"/>
      </w:pPr>
      <w:r>
        <w:t xml:space="preserve">This case study examines a complex legal engagement involving a mid-sized European technology firm attempting to establish market presence in the highly regulated and culturally distinct business environment of Japan Tokyo. The primary objective was to navigate the intricate regulatory framework, mitigate intellectual property risks, and resolve a preliminary contractual dispute with a local distributor. This document highlights the critical role of specialized expertise when engaging with the Japanese legal system.</w:t>
      </w:r>
    </w:p>
    <w:bookmarkEnd w:id="20"/>
    <w:bookmarkStart w:id="21" w:name="client-background-and-problem-statement"/>
    <w:p>
      <w:pPr>
        <w:pStyle w:val="Heading2"/>
      </w:pPr>
      <w:r>
        <w:t xml:space="preserve">2. Client Background and Problem Statement</w:t>
      </w:r>
    </w:p>
    <w:p>
      <w:pPr>
        <w:pStyle w:val="FirstParagraph"/>
      </w:pPr>
      <w:r>
        <w:t xml:space="preserve">The client, referred to here as "EuroTech," is a German software development company specializing in industrial automation solutions. EuroTech sought to expand its operations into Asia, selecting Tokyo as its regional headquarters due to the city's status as a global financial hub and its proximity to major manufacturing centers. However, upon entering the market, EuroTech encountered significant challenges.</w:t>
      </w:r>
    </w:p>
    <w:p>
      <w:pPr>
        <w:pStyle w:val="BodyText"/>
      </w:pPr>
      <w:r>
        <w:t xml:space="preserve">The core issues included:</w:t>
      </w:r>
    </w:p>
    <w:p>
      <w:pPr>
        <w:numPr>
          <w:ilvl w:val="0"/>
          <w:numId w:val="1001"/>
        </w:numPr>
        <w:pStyle w:val="Compact"/>
      </w:pPr>
      <w:r>
        <w:rPr>
          <w:bCs/>
          <w:b/>
        </w:rPr>
        <w:t xml:space="preserve">Cultural Misalignment:</w:t>
      </w:r>
      <w:r>
        <w:t xml:space="preserve"> </w:t>
      </w:r>
      <w:r>
        <w:t xml:space="preserve">Differences in negotiation styles and contract interpretation between European business practices and Japanese commercial norms.</w:t>
      </w:r>
    </w:p>
    <w:p>
      <w:pPr>
        <w:numPr>
          <w:ilvl w:val="0"/>
          <w:numId w:val="1001"/>
        </w:numPr>
        <w:pStyle w:val="Compact"/>
      </w:pPr>
      <w:r>
        <w:rPr>
          <w:bCs/>
          <w:b/>
        </w:rPr>
        <w:t xml:space="preserve">Distributor Dispute:</w:t>
      </w:r>
      <w:r>
        <w:t xml:space="preserve"> </w:t>
      </w:r>
      <w:r>
        <w:t xml:space="preserve">A local Tokyo-based distributor breached exclusivity agreements by selling competing products, causing substantial revenue loss.</w:t>
      </w:r>
    </w:p>
    <w:p>
      <w:pPr>
        <w:numPr>
          <w:ilvl w:val="0"/>
          <w:numId w:val="1001"/>
        </w:numPr>
        <w:pStyle w:val="Compact"/>
      </w:pPr>
      <w:r>
        <w:t xml:space="preserve">Data Privacy Compliance: Uncertainty regarding compliance with Japan's Act on the Protection of Personal Information (APPI) in conjunction with GDPR requirements.</w:t>
      </w:r>
    </w:p>
    <w:bookmarkEnd w:id="21"/>
    <w:bookmarkStart w:id="25" w:name="the-legal-strategy"/>
    <w:p>
      <w:pPr>
        <w:pStyle w:val="Heading2"/>
      </w:pPr>
      <w:r>
        <w:t xml:space="preserve">3. The Legal Strategy</w:t>
      </w:r>
    </w:p>
    <w:p>
      <w:pPr>
        <w:pStyle w:val="FirstParagraph"/>
      </w:pPr>
      <w:r>
        <w:t xml:space="preserve">To address these multifaceted challenges, EuroTech engaged a boutique law firm specializing in international business law within Japan Tokyo. The legal team adopted a multi-pronged strategy tailored to the specificities of the Japanese market.</w:t>
      </w:r>
    </w:p>
    <w:bookmarkStart w:id="22" w:name="Xa383412fe2aebab51da08616f77afbfe341bddb"/>
    <w:p>
      <w:pPr>
        <w:pStyle w:val="Heading3"/>
      </w:pPr>
      <w:r>
        <w:t xml:space="preserve">3.1 Cultural Competence and Local Integration</w:t>
      </w:r>
    </w:p>
    <w:p>
      <w:pPr>
        <w:pStyle w:val="FirstParagraph"/>
      </w:pPr>
      <w:r>
        <w:t xml:space="preserve">A fundamental aspect of the strategy was recognizing that doing business in Japan Tokyo requires more than just translating contracts; it requires cultural fluency. The lawyer team facilitated "cultural bridging" sessions between EuroTech executives and their Japanese partners. They emphasized the concept of</w:t>
      </w:r>
      <w:r>
        <w:t xml:space="preserve"> </w:t>
      </w:r>
      <w:r>
        <w:rPr>
          <w:iCs/>
          <w:i/>
        </w:rPr>
        <w:t xml:space="preserve">Wa</w:t>
      </w:r>
      <w:r>
        <w:t xml:space="preserve"> </w:t>
      </w:r>
      <w:r>
        <w:t xml:space="preserve">(harmony), explaining that aggressive litigation tactics could damage long-term business relationships irreparably in Japan Tokyo society.</w:t>
      </w:r>
    </w:p>
    <w:bookmarkEnd w:id="22"/>
    <w:bookmarkStart w:id="23" w:name="alternative-dispute-resolution-adr"/>
    <w:p>
      <w:pPr>
        <w:pStyle w:val="Heading3"/>
      </w:pPr>
      <w:r>
        <w:t xml:space="preserve">3.2 Alternative Dispute Resolution (ADR)</w:t>
      </w:r>
    </w:p>
    <w:p>
      <w:pPr>
        <w:pStyle w:val="FirstParagraph"/>
      </w:pPr>
      <w:r>
        <w:t xml:space="preserve">Rather than immediately filing a lawsuit in the Tokyo District Court, which is often time-consuming and public, the lawyer advised pursuing mediation through the Japan Commercial Arbitration Association (JCAA). This approach aligned with the Japanese preference for resolving conflicts privately and efficiently. The legal team prepared detailed evidence packages that respected Japanese standards of documentation and formality.</w:t>
      </w:r>
    </w:p>
    <w:bookmarkEnd w:id="23"/>
    <w:bookmarkStart w:id="24" w:name="regulatory-harmonization"/>
    <w:p>
      <w:pPr>
        <w:pStyle w:val="Heading3"/>
      </w:pPr>
      <w:r>
        <w:t xml:space="preserve">3.3 Regulatory Harmonization</w:t>
      </w:r>
    </w:p>
    <w:p>
      <w:pPr>
        <w:pStyle w:val="FirstParagraph"/>
      </w:pPr>
      <w:r>
        <w:t xml:space="preserve">The lawyer conducted a comprehensive audit of EuroTech’s data handling procedures to ensure alignment with APPI regulations in Japan Tokyo. This involved mapping data flows from the European headquarters to the new Tokyo office, implementing strict access controls, and establishing clear consent mechanisms for users.</w:t>
      </w:r>
    </w:p>
    <w:bookmarkEnd w:id="24"/>
    <w:bookmarkEnd w:id="25"/>
    <w:bookmarkStart w:id="26" w:name="implementation-and-execution"/>
    <w:p>
      <w:pPr>
        <w:pStyle w:val="Heading2"/>
      </w:pPr>
      <w:r>
        <w:t xml:space="preserve">4. Implementation and Execution</w:t>
      </w:r>
    </w:p>
    <w:p>
      <w:pPr>
        <w:pStyle w:val="FirstParagraph"/>
      </w:pPr>
      <w:r>
        <w:t xml:space="preserve">The execution phase required meticulous attention to detail. The lawyer drafted cease-and-desist letters that were linguistically precise yet diplomatically toned to encourage compliance without immediate hostility. Simultaneously, negotiations for a revised distribution agreement began.</w:t>
      </w:r>
    </w:p>
    <w:p>
      <w:pPr>
        <w:pStyle w:val="BodyText"/>
      </w:pPr>
      <w:r>
        <w:rPr>
          <w:bCs/>
          <w:b/>
        </w:rPr>
        <w:t xml:space="preserve">Key Insight:</w:t>
      </w:r>
      <w:r>
        <w:t xml:space="preserve"> </w:t>
      </w:r>
      <w:r>
        <w:t xml:space="preserve">In Japan Tokyo, the relationship between parties often supersedes the letter of the law in initial dispute resolutions. The lawyer leveraged this by proposing a settlement that allowed the distributor to withdraw competing products while EuroTech offered increased marketing support for their flagship product.</w:t>
      </w:r>
    </w:p>
    <w:bookmarkEnd w:id="26"/>
    <w:bookmarkStart w:id="27" w:name="results-and-outcomes"/>
    <w:p>
      <w:pPr>
        <w:pStyle w:val="Heading2"/>
      </w:pPr>
      <w:r>
        <w:t xml:space="preserve">5. Results and Outcomes</w:t>
      </w:r>
    </w:p>
    <w:p>
      <w:pPr>
        <w:pStyle w:val="FirstParagraph"/>
      </w:pPr>
      <w:r>
        <w:t xml:space="preserve">The legal intervention yielded significant positive outcomes for EuroTech:</w:t>
      </w:r>
    </w:p>
    <w:p>
      <w:pPr>
        <w:numPr>
          <w:ilvl w:val="0"/>
          <w:numId w:val="1002"/>
        </w:numPr>
        <w:pStyle w:val="Compact"/>
      </w:pPr>
      <w:r>
        <w:rPr>
          <w:bCs/>
          <w:b/>
        </w:rPr>
        <w:t xml:space="preserve">Rapid Resolution:</w:t>
      </w:r>
      <w:r>
        <w:t xml:space="preserve">The dispute was resolved through mediation in three months, significantly faster than the typical timeline for litigation in Japan Tokyo.</w:t>
      </w:r>
    </w:p>
    <w:p>
      <w:pPr>
        <w:numPr>
          <w:ilvl w:val="0"/>
          <w:numId w:val="1002"/>
        </w:numPr>
        <w:pStyle w:val="Compact"/>
      </w:pPr>
      <w:r>
        <w:rPr>
          <w:bCs/>
          <w:b/>
        </w:rPr>
        <w:t xml:space="preserve">Maintained Relationship:</w:t>
      </w:r>
      <w:r>
        <w:t xml:space="preserve">The distributor agreed to honor exclusivity clauses and entered into a renewed partnership, preserving EuroTech’s market entry strategy.</w:t>
      </w:r>
    </w:p>
    <w:p>
      <w:pPr>
        <w:numPr>
          <w:ilvl w:val="0"/>
          <w:numId w:val="1002"/>
        </w:numPr>
        <w:pStyle w:val="Compact"/>
      </w:pPr>
      <w:r>
        <w:rPr>
          <w:bCs/>
          <w:b/>
        </w:rPr>
        <w:t xml:space="preserve">Regulatory Compliance:</w:t>
      </w:r>
      <w:r>
        <w:t xml:space="preserve">EuroTech achieved full APPI compliance, avoiding potential fines and building trust with Japanese consumers.</w:t>
      </w:r>
    </w:p>
    <w:p>
      <w:pPr>
        <w:numPr>
          <w:ilvl w:val="0"/>
          <w:numId w:val="1002"/>
        </w:numPr>
        <w:pStyle w:val="Compact"/>
      </w:pPr>
      <w:r>
        <w:rPr>
          <w:bCs/>
          <w:b/>
        </w:rPr>
        <w:t xml:space="preserve">Mental Model Adjustment:</w:t>
      </w:r>
      <w:r>
        <w:t xml:space="preserve">EuroTech’s management gained a deeper understanding of the legal and cultural landscape of Japan Tokyo, reducing future friction.</w:t>
      </w:r>
    </w:p>
    <w:bookmarkEnd w:id="27"/>
    <w:bookmarkStart w:id="28" w:name="X0025016ae49d67417f9f9b2e60c78fbbc06c658"/>
    <w:p>
      <w:pPr>
        <w:pStyle w:val="Heading2"/>
      </w:pPr>
      <w:r>
        <w:t xml:space="preserve">6. Analysis: The Role of Specialized Legal Expertise</w:t>
      </w:r>
    </w:p>
    <w:p>
      <w:pPr>
        <w:pStyle w:val="FirstParagraph"/>
      </w:pPr>
      <w:r>
        <w:t xml:space="preserve">This case study underscores that engaging a lawyer familiar with the nuances of Japan Tokyo is not merely a formality but a strategic imperative. Generalist international lawyers often fail to grasp the subtleties of Japanese civil procedure, the importance of</w:t>
      </w:r>
      <w:r>
        <w:t xml:space="preserve"> </w:t>
      </w:r>
      <w:r>
        <w:rPr>
          <w:iCs/>
          <w:i/>
        </w:rPr>
        <w:t xml:space="preserve">Konrei</w:t>
      </w:r>
      <w:r>
        <w:t xml:space="preserve"> </w:t>
      </w:r>
      <w:r>
        <w:t xml:space="preserve">(ceremonial propriety), and the hierarchical nature of business communications in Tokyo.</w:t>
      </w:r>
    </w:p>
    <w:p>
      <w:pPr>
        <w:pStyle w:val="BodyText"/>
      </w:pPr>
      <w:r>
        <w:t xml:space="preserve">The lawyer in this case acted as more than just a legal advocate; they served as a cultural interpreter. They translated not only language but also intent, ensuring that EuroTech’s actions were perceived as respectful and committed within the Japan Tokyo context. This holistic approach mitigated risk and facilitated smoother market integration.</w:t>
      </w:r>
    </w:p>
    <w:bookmarkEnd w:id="28"/>
    <w:bookmarkStart w:id="29" w:name="conclusion"/>
    <w:p>
      <w:pPr>
        <w:pStyle w:val="Heading2"/>
      </w:pPr>
      <w:r>
        <w:t xml:space="preserve">7. Conclusion</w:t>
      </w:r>
    </w:p>
    <w:p>
      <w:pPr>
        <w:pStyle w:val="FirstParagraph"/>
      </w:pPr>
      <w:r>
        <w:t xml:space="preserve">Expanding into Japan Tokyo presents unique opportunities for global companies, but it is fraught with legal and cultural complexities. As demonstrated in this case study, the involvement of a skilled lawyer who understands the local judicial environment and business etiquette is essential for success. EuroTech’s experience serves as a model for other international entities looking to establish a foothold in Japan Tokyo: prioritize cultural integration, leverage alternative dispute resolution mechanisms, and secure legal counsel with deep local expertise.</w:t>
      </w:r>
    </w:p>
    <w:p>
      <w:pPr>
        <w:pStyle w:val="BodyText"/>
      </w:pPr>
      <w:r>
        <w:t xml:space="preserve">Ultimately, the synergy between international ambition and local legal proficiency creates the foundation for sustainable growth in one of Asia’s most dynamic economic hubs.</w:t>
      </w:r>
    </w:p>
    <w:p>
      <w:pPr>
        <w:pStyle w:val="BodyText"/>
      </w:pPr>
      <w:r>
        <w:rPr>
          <w:iCs/>
          <w:i/>
        </w:rPr>
        <w:t xml:space="preserve">Note: This document is for informational purposes only and does not constitute legal advice. All names have been changed to protect client confidentiality.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Corporate Litigation in Japan Tokyo</dc:title>
  <dc:creator/>
  <dc:language>en</dc:language>
  <cp:keywords/>
  <dcterms:created xsi:type="dcterms:W3CDTF">2026-07-29T05:01:58Z</dcterms:created>
  <dcterms:modified xsi:type="dcterms:W3CDTF">2026-07-29T05:01:58Z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