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Excellence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Gulf:</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Legal</w:t>
      </w:r>
      <w:r>
        <w:t xml:space="preserve"> </w:t>
      </w:r>
      <w:r>
        <w:t xml:space="preserve">Representation</w:t>
      </w:r>
      <w:r>
        <w:t xml:space="preserve"> </w:t>
      </w:r>
      <w:r>
        <w:t xml:space="preserve">in</w:t>
      </w:r>
      <w:r>
        <w:t xml:space="preserve"> </w:t>
      </w:r>
      <w:r>
        <w:t xml:space="preserve">Kuwait</w:t>
      </w:r>
      <w:r>
        <w:t xml:space="preserve"> </w:t>
      </w:r>
      <w:r>
        <w:t xml:space="preserve">City</w:t>
      </w:r>
    </w:p>
    <w:bookmarkStart w:id="31" w:name="X1e15385cb7a5916e4ce0a7eeb24232450839b67"/>
    <w:p>
      <w:pPr>
        <w:pStyle w:val="Heading1"/>
      </w:pPr>
      <w:r>
        <w:t xml:space="preserve">Legal Excellence in the Heart of the Gulf: A Case Study on Legal Representation in Kuwait City</w:t>
      </w:r>
    </w:p>
    <w:p>
      <w:pPr>
        <w:pStyle w:val="FirstParagraph"/>
      </w:pPr>
      <w:r>
        <w:t xml:space="preserve">In the rapidly evolving legal landscape of the Middle East, few locations demand as much precision, cultural awareness, and strategic acumen as **Kuwait Kuwait City**. As a hub for international business and local enterprise within State of Kuwait, this metropolitan center serves as the judicial heart of the nation. This document presents a comprehensive</w:t>
      </w:r>
      <w:r>
        <w:t xml:space="preserve"> </w:t>
      </w:r>
      <w:r>
        <w:rPr>
          <w:bCs/>
          <w:b/>
        </w:rPr>
        <w:t xml:space="preserve">Case Study</w:t>
      </w:r>
      <w:r>
        <w:t xml:space="preserve"> </w:t>
      </w:r>
      <w:r>
        <w:t xml:space="preserve">analyzing the complexities faced by clients seeking professional</w:t>
      </w:r>
      <w:r>
        <w:t xml:space="preserve"> </w:t>
      </w:r>
      <w:r>
        <w:rPr>
          <w:bCs/>
          <w:b/>
        </w:rPr>
        <w:t xml:space="preserve">Lawyer</w:t>
      </w:r>
      <w:r>
        <w:t xml:space="preserve"> </w:t>
      </w:r>
      <w:r>
        <w:t xml:space="preserve">services within this specific geographic and legal jurisdiction.</w:t>
      </w:r>
    </w:p>
    <w:bookmarkStart w:id="20" w:name="X2b28cc0d820fedf3fe18e4c7a45a1e1e586c370"/>
    <w:p>
      <w:pPr>
        <w:pStyle w:val="Heading2"/>
      </w:pPr>
      <w:r>
        <w:t xml:space="preserve">The Context: The Unique Legal Environment of Kuwait City</w:t>
      </w:r>
    </w:p>
    <w:p>
      <w:pPr>
        <w:pStyle w:val="FirstParagraph"/>
      </w:pPr>
      <w:r>
        <w:t xml:space="preserve">To understand the necessity of specialized counsel, one must first appreciate the environment in which a **Lawyer** operates in **Kuwait Kuwait City**. The legal system here is a hybrid model, blending elements of civil law derived from Egyptian and French jurisprudence with Sharia principles that govern personal status matters. This duality creates a unique challenge for both local citizens and expatriates who seek legal recourse.</w:t>
      </w:r>
    </w:p>
    <w:p>
      <w:pPr>
        <w:pStyle w:val="BodyText"/>
      </w:pPr>
      <w:r>
        <w:t xml:space="preserve">**Kuwait Kuwait City** is not merely a geographic location; it is the epicenter of commercial activity, government administration, and social interaction. Consequently, disputes arising here are often high-stakes involving multinational corporations, real estate development projects, and complex family estates. The density of the city means that court congestion is a significant factor. Therefore, a **Lawyer** practicing in this area must be adept at navigating not only the substantive law but also the procedural nuances of local courts to ensure timely resolution for their clients.</w:t>
      </w:r>
    </w:p>
    <w:bookmarkEnd w:id="20"/>
    <w:bookmarkStart w:id="22" w:name="the-client-challenge"/>
    <w:p>
      <w:pPr>
        <w:pStyle w:val="Heading2"/>
      </w:pPr>
      <w:r>
        <w:t xml:space="preserve">The Client Challenge</w:t>
      </w:r>
    </w:p>
    <w:bookmarkStart w:id="21" w:name="scenario-overview"/>
    <w:p>
      <w:pPr>
        <w:pStyle w:val="Heading3"/>
      </w:pPr>
      <w:r>
        <w:t xml:space="preserve">Scenario Overview</w:t>
      </w:r>
    </w:p>
    <w:p>
      <w:pPr>
        <w:pStyle w:val="FirstParagraph"/>
      </w:pPr>
      <w:r>
        <w:rPr>
          <w:bCs/>
          <w:b/>
        </w:rPr>
        <w:t xml:space="preserve">Clients:</w:t>
      </w:r>
      <w:r>
        <w:t xml:space="preserve"> </w:t>
      </w:r>
      <w:r>
        <w:t xml:space="preserve">A consortium of international investors and a local Kuwaiti family holding company.</w:t>
      </w:r>
    </w:p>
    <w:p>
      <w:pPr>
        <w:pStyle w:val="BodyText"/>
      </w:pPr>
      <w:r>
        <w:rPr>
          <w:bCs/>
          <w:b/>
        </w:rPr>
        <w:t xml:space="preserve">The Issue:</w:t>
      </w:r>
      <w:r>
        <w:t xml:space="preserve"> </w:t>
      </w:r>
      <w:r>
        <w:t xml:space="preserve">A complex cross-border commercial dispute involving a breached joint venture agreement regarding a major real estate development project in the heart of **Kuwait Kuwait City.</w:t>
      </w:r>
    </w:p>
    <w:p>
      <w:pPr>
        <w:pStyle w:val="BodyText"/>
      </w:pPr>
      <w:r>
        <w:rPr>
          <w:bCs/>
          <w:b/>
        </w:rPr>
        <w:t xml:space="preserve">The Complication:</w:t>
      </w:r>
      <w:r>
        <w:t xml:space="preserve"> </w:t>
      </w:r>
      <w:r>
        <w:t xml:space="preserve">The contract contained ambiguous arbitration clauses, and the opposing party had filed immediate counter-litigation in local civil courts, seeking to freeze assets. Time was of the essence due to ongoing construction delays.</w:t>
      </w:r>
    </w:p>
    <w:bookmarkEnd w:id="21"/>
    <w:bookmarkEnd w:id="22"/>
    <w:bookmarkStart w:id="26" w:name="Xd01d633b5392c65b6b84aa8a31c6de4fb935a8f"/>
    <w:p>
      <w:pPr>
        <w:pStyle w:val="Heading2"/>
      </w:pPr>
      <w:r>
        <w:t xml:space="preserve">The Legal Strategy: Deploying Expert Counsel</w:t>
      </w:r>
    </w:p>
    <w:p>
      <w:pPr>
        <w:pStyle w:val="FirstParagraph"/>
      </w:pPr>
      <w:r>
        <w:t xml:space="preserve">In this scenario, engaging a qualified **Lawyer** with specific expertise in both Kuwaiti Civil Law and international arbitration was critical. The case study highlights three pivotal strategies employed by the legal team:</w:t>
      </w:r>
    </w:p>
    <w:bookmarkStart w:id="23" w:name="immediate-jurisdictional-analysis"/>
    <w:p>
      <w:pPr>
        <w:pStyle w:val="Heading3"/>
      </w:pPr>
      <w:r>
        <w:t xml:space="preserve">1. Immediate Jurisdictional Analysis</w:t>
      </w:r>
    </w:p>
    <w:p>
      <w:pPr>
        <w:pStyle w:val="FirstParagraph"/>
      </w:pPr>
      <w:r>
        <w:t xml:space="preserve">The first step taken by the **Lawyer** was to determine whether the dispute fell under the exclusive jurisdiction of local courts in **Kuwait Kuwait City** or if international arbitration clauses were enforceable. Under Kuwaiti law, certain public policy matters cannot be arbitrated. The legal team conducted a rigorous analysis of Contract Law No. 30 of 1968 and other relevant commercial codes to establish a defense that would force the matter toward neutral arbitration rather than local litigation, which could be protracted.</w:t>
      </w:r>
    </w:p>
    <w:bookmarkEnd w:id="23"/>
    <w:bookmarkStart w:id="24" w:name="cultural-and-linguistic-nuance"/>
    <w:p>
      <w:pPr>
        <w:pStyle w:val="Heading3"/>
      </w:pPr>
      <w:r>
        <w:t xml:space="preserve">2. Cultural and Linguistic Nuance</w:t>
      </w:r>
    </w:p>
    <w:p>
      <w:pPr>
        <w:pStyle w:val="FirstParagraph"/>
      </w:pPr>
      <w:r>
        <w:t xml:space="preserve">A significant aspect of practicing law in **Kuwait Kuwait City** is the language of the court. While English may be used in private contracts, all submissions to the courts must be in Arabic. The **Lawyer** coordinated with certified legal translators to ensure that every nuance of evidence was preserved accurately. Furthermore, understanding the cultural expectations within Kuwaiti courtrooms—such as respect for judicial protocol and family hierarchy—was essential for building rapport with judges who have significant discretionary power.</w:t>
      </w:r>
    </w:p>
    <w:bookmarkEnd w:id="24"/>
    <w:bookmarkStart w:id="25" w:name="asset-protection-measures"/>
    <w:p>
      <w:pPr>
        <w:pStyle w:val="Heading3"/>
      </w:pPr>
      <w:r>
        <w:t xml:space="preserve">3. Asset Protection Measures</w:t>
      </w:r>
    </w:p>
    <w:p>
      <w:pPr>
        <w:pStyle w:val="FirstParagraph"/>
      </w:pPr>
      <w:r>
        <w:t xml:space="preserve">To counter the opposing party's attempt to freeze assets, the **Lawyer** filed an urgent application under the Kuwaiti Civil Procedures Law. This required a deep understanding of local precedents regarding provisional measures. By demonstrating imminent irreparable harm, the legal team successfully prevented the asset freeze, allowing construction and business operations to continue while litigation proceeded.</w:t>
      </w:r>
    </w:p>
    <w:bookmarkEnd w:id="25"/>
    <w:bookmarkEnd w:id="26"/>
    <w:bookmarkStart w:id="28" w:name="the-outcome"/>
    <w:p>
      <w:pPr>
        <w:pStyle w:val="Heading2"/>
      </w:pPr>
      <w:r>
        <w:t xml:space="preserve">The Outcome</w:t>
      </w:r>
    </w:p>
    <w:p>
      <w:pPr>
        <w:pStyle w:val="FirstParagraph"/>
      </w:pPr>
      <w:r>
        <w:t xml:space="preserve">Through meticulous preparation and strategic maneuvering within the framework of **Kuwait Kuwait City**'s judicial system, the case was resolved favorably for our clients. The court recognized the validity of the arbitration clause due to specific contractual interpretations favored by recent Kuwaiti Supreme Court rulings. The dispute was subsequently moved to an international arbitration panel seated in Bahrain, a common and respected alternative for commercial disputes in the region.</w:t>
      </w:r>
    </w:p>
    <w:p>
      <w:pPr>
        <w:pStyle w:val="BodyText"/>
      </w:pPr>
      <w:r>
        <w:t xml:space="preserve">The outcome saved the client consortium millions of dollars in potential damages and avoided years of local litigation. It also preserved the business relationship between the parties, allowing them to eventually negotiate a restructuring of their joint venture rather than total dissolution.</w:t>
      </w:r>
    </w:p>
    <w:bookmarkStart w:id="27" w:name="key-takeaways-for-legal-practitioners"/>
    <w:p>
      <w:pPr>
        <w:pStyle w:val="Heading3"/>
      </w:pPr>
      <w:r>
        <w:t xml:space="preserve">Key Takeaways for Legal Practitioners</w:t>
      </w:r>
    </w:p>
    <w:p>
      <w:pPr>
        <w:numPr>
          <w:ilvl w:val="0"/>
          <w:numId w:val="1001"/>
        </w:numPr>
        <w:pStyle w:val="Compact"/>
      </w:pPr>
      <w:r>
        <w:rPr>
          <w:bCs/>
          <w:b/>
        </w:rPr>
        <w:t xml:space="preserve">Niche Expertise:</w:t>
      </w:r>
      <w:r>
        <w:t xml:space="preserve"> </w:t>
      </w:r>
      <w:r>
        <w:t xml:space="preserve">A **Lawyer** must possess deep knowledge of the specific statutes governing commercial activities in Kuwait.</w:t>
      </w:r>
    </w:p>
    <w:p>
      <w:pPr>
        <w:numPr>
          <w:ilvl w:val="0"/>
          <w:numId w:val="1001"/>
        </w:numPr>
        <w:pStyle w:val="Compact"/>
      </w:pPr>
      <w:r>
        <w:rPr>
          <w:bCs/>
          <w:b/>
        </w:rPr>
        <w:t xml:space="preserve">Leveraging Local Context:</w:t>
      </w:r>
      <w:r>
        <w:t xml:space="preserve"> </w:t>
      </w:r>
      <w:r>
        <w:t xml:space="preserve">Success in **Kuwait Kuwait City** depends on understanding how international contracts intersect with local public policy.</w:t>
      </w:r>
    </w:p>
    <w:p>
      <w:pPr>
        <w:numPr>
          <w:ilvl w:val="0"/>
          <w:numId w:val="1001"/>
        </w:numPr>
        <w:pStyle w:val="Compact"/>
      </w:pPr>
      <w:r>
        <w:rPr>
          <w:bCs/>
          <w:b/>
        </w:rPr>
        <w:t xml:space="preserve">Precision in Procedure:</w:t>
      </w:r>
      <w:r>
        <w:t xml:space="preserve"> </w:t>
      </w:r>
      <w:r>
        <w:t xml:space="preserve">Procedural errors can be fatal to a case; therefore, attention to detail regarding filing deadlines and language requirements is paramount.</w:t>
      </w:r>
    </w:p>
    <w:bookmarkEnd w:id="27"/>
    <w:bookmarkEnd w:id="28"/>
    <w:bookmarkStart w:id="29" w:name="Xc99c7fcfdd00c0b1a84ba5790d36621d763aa82"/>
    <w:p>
      <w:pPr>
        <w:pStyle w:val="Heading2"/>
      </w:pPr>
      <w:r>
        <w:t xml:space="preserve">The Role of Technology in Modern Kuwaiti Law</w:t>
      </w:r>
    </w:p>
    <w:p>
      <w:pPr>
        <w:pStyle w:val="FirstParagraph"/>
      </w:pPr>
      <w:r>
        <w:t xml:space="preserve">This case study also illustrates the modernization of legal services in **Kuwait Kuwait City**. The introduction of electronic filing systems and digital court management tools has changed how a **Lawyer** operates. In this specific instance, the rapid submission of digital evidence and real-time tracking of case status updates were crucial. The ability to navigate these technological advancements while maintaining traditional legal rigor is now a standard requirement for any reputable legal firm operating in the capital.</w:t>
      </w:r>
    </w:p>
    <w:bookmarkEnd w:id="29"/>
    <w:bookmarkStart w:id="30" w:name="conclusion"/>
    <w:p>
      <w:pPr>
        <w:pStyle w:val="Heading2"/>
      </w:pPr>
      <w:r>
        <w:t xml:space="preserve">Conclusion</w:t>
      </w:r>
    </w:p>
    <w:p>
      <w:pPr>
        <w:pStyle w:val="FirstParagraph"/>
      </w:pPr>
      <w:r>
        <w:t xml:space="preserve">The complexities inherent in commercial and civil disputes within **Kuwait Kuwait City** demand more than just theoretical knowledge of the law. They require a **Lawyer** who is culturally attuned, procedurally precise, and strategically innovative. This case study serves as a testament to the importance of specialized legal representation in one of the Gulf's most dynamic cities.</w:t>
      </w:r>
    </w:p>
    <w:p>
      <w:pPr>
        <w:pStyle w:val="BodyText"/>
      </w:pPr>
      <w:r>
        <w:t xml:space="preserve">For individuals and businesses operating in this region, choosing the right legal partner is not merely a transactional decision but a strategic imperative. The interplay between international commerce and local law in **Kuwait Kuwait City** creates a high-stakes environment where expertise can make the difference between financial ruin and successful resolution. As the city continues to grow as an economic powerhouse, the demand for sophisticated legal services will only increase, reinforcing the vital role of the skilled **Lawyer** in maintaining justice and order.</w:t>
      </w:r>
    </w:p>
    <w:p>
      <w:pPr>
        <w:pStyle w:val="BodyText"/>
      </w:pPr>
      <w:r>
        <w:t xml:space="preserve">Ultimately, this document underscores that while laws are universal in their desire for justice, their application is deeply local. Success in **Kuwait Kuwait City** hinges on respecting these local nuances while leveraging global best practices. The synergy between a knowledgeable client and an expert **Lawyer** remains the cornerstone of legal success in this vibrant part of the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Excellence in the Heart of the Gulf: A Case Study on Legal Representation in Kuwait City</dc:title>
  <dc:creator/>
  <dc:language>en</dc:language>
  <cp:keywords/>
  <dcterms:created xsi:type="dcterms:W3CDTF">2026-07-29T09:30:39Z</dcterms:created>
  <dcterms:modified xsi:type="dcterms:W3CDTF">2026-07-29T09:30:39Z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