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Strategic</w:t>
      </w:r>
      <w:r>
        <w:t xml:space="preserve"> </w:t>
      </w:r>
      <w:r>
        <w:t xml:space="preserve">Legal</w:t>
      </w:r>
      <w:r>
        <w:t xml:space="preserve"> </w:t>
      </w:r>
      <w:r>
        <w:t xml:space="preserve">Representation</w:t>
      </w:r>
      <w:r>
        <w:t xml:space="preserve"> </w:t>
      </w:r>
      <w:r>
        <w:t xml:space="preserve">in</w:t>
      </w:r>
      <w:r>
        <w:t xml:space="preserve"> </w:t>
      </w:r>
      <w:r>
        <w:t xml:space="preserve">Malaysia</w:t>
      </w:r>
      <w:r>
        <w:t xml:space="preserve"> </w:t>
      </w:r>
      <w:r>
        <w:t xml:space="preserve">Kuala</w:t>
      </w:r>
      <w:r>
        <w:t xml:space="preserve"> </w:t>
      </w:r>
      <w:r>
        <w:t xml:space="preserve">Lumpur</w:t>
      </w:r>
    </w:p>
    <w:bookmarkStart w:id="29" w:name="X2fc8b941450773b09d301e5afb57ae256733bdf"/>
    <w:p>
      <w:pPr>
        <w:pStyle w:val="Heading1"/>
      </w:pPr>
      <w:r>
        <w:t xml:space="preserve">A Strategic Legal Partnership: Navigating Corporate Disputes in Malaysia Kuala Lumpur</w:t>
      </w:r>
    </w:p>
    <w:p>
      <w:pPr>
        <w:pStyle w:val="FirstParagraph"/>
      </w:pPr>
      <w:r>
        <w:rPr>
          <w:bCs/>
          <w:b/>
        </w:rPr>
        <w:t xml:space="preserve">Date:</w:t>
      </w:r>
      <w:r>
        <w:t xml:space="preserve"> </w:t>
      </w:r>
      <w:r>
        <w:t xml:space="preserve">October 24, 2023</w:t>
      </w:r>
      <w:r>
        <w:br/>
      </w:r>
      <w:r>
        <w:rPr>
          <w:bCs/>
          <w:b/>
        </w:rPr>
        <w:t xml:space="preserve">Jurisdiction:</w:t>
      </w:r>
      <w:r>
        <w:t xml:space="preserve"> </w:t>
      </w:r>
      <w:r>
        <w:t xml:space="preserve">Malaysia Kuala Lumpur</w:t>
      </w:r>
      <w:r>
        <w:br/>
      </w:r>
      <w:r>
        <w:rPr>
          <w:bCs/>
          <w:b/>
        </w:rPr>
        <w:t xml:space="preserve">Subject:</w:t>
      </w:r>
      <w:r>
        <w:t xml:space="preserve"> </w:t>
      </w:r>
      <w:r>
        <w:t xml:space="preserve">Complex Commercial Litigation and Regulatory Compliance</w:t>
      </w:r>
    </w:p>
    <w:bookmarkStart w:id="20" w:name="X1135b7b92416687ef9dcb07f637ecb3ddd90cf1"/>
    <w:p>
      <w:pPr>
        <w:pStyle w:val="Heading3"/>
      </w:pPr>
      <w:r>
        <w:rPr>
          <w:iCs/>
          <w:i/>
        </w:rPr>
        <w:t xml:space="preserve">"The landscape of legal practice in Malaysia Kuala Lumpur is uniquely dynamic. Success requires not only a mastery of the law but an intimate understanding of local procedural nuances and the socio-economic context."</w:t>
      </w:r>
    </w:p>
    <w:bookmarkEnd w:id="20"/>
    <w:bookmarkStart w:id="21" w:name="executive-summary"/>
    <w:p>
      <w:pPr>
        <w:pStyle w:val="Heading2"/>
      </w:pPr>
      <w:r>
        <w:t xml:space="preserve">1. Executive Summary</w:t>
      </w:r>
    </w:p>
    <w:p>
      <w:pPr>
        <w:pStyle w:val="FirstParagraph"/>
      </w:pPr>
      <w:r>
        <w:t xml:space="preserve">This case study examines a high-stakes commercial dispute involving a multinational technology firm operating within the bustling business district of Malaysia Kuala Lumpur. The primary objective was to resolve a complex breach of contract and intellectual property infringement matter while mitigating reputational damage. By engaging specialized legal counsel in Malaysia Kuala Lumpur, the client successfully navigated the intricacies of local litigation procedures under Malaysian Law. This document highlights how a dedicated Lawyer provided strategic insight, ensuring favorable outcomes in court proceedings and alternative dispute resolution mechanisms.</w:t>
      </w:r>
    </w:p>
    <w:bookmarkEnd w:id="21"/>
    <w:bookmarkStart w:id="22" w:name="client-background-and-context"/>
    <w:p>
      <w:pPr>
        <w:pStyle w:val="Heading2"/>
      </w:pPr>
      <w:r>
        <w:t xml:space="preserve">2. Client Background and Context</w:t>
      </w:r>
    </w:p>
    <w:p>
      <w:pPr>
        <w:pStyle w:val="FirstParagraph"/>
      </w:pPr>
      <w:r>
        <w:t xml:space="preserve">The client is "TechNova Solutions," a subsidiary of a global software development company with its regional headquarters located in the Golden Triangle of Malaysia Kuala Lumpur. TechNova had entered into a joint venture agreement with a local Malaysian entity to develop customized enterprise resource planning (ERP) systems for government-linked companies (GLCs). The partnership was initially promising, leveraging the innovative capabilities of TechNova and the local market access of its partner.</w:t>
      </w:r>
    </w:p>
    <w:p>
      <w:pPr>
        <w:pStyle w:val="BodyText"/>
      </w:pPr>
      <w:r>
        <w:t xml:space="preserve">However, tensions arose three years into the contract. The partner alleged that TechNova failed to deliver specific modules on time, leading to significant financial losses. Conversely, TechNova claimed that the partner breached exclusivity clauses and misappropriated proprietary code. With stakes exceeding RM15 million involved, the situation required immediate and sophisticated legal intervention within the jurisdiction of Malaysia Kuala Lumpur.</w:t>
      </w:r>
    </w:p>
    <w:bookmarkEnd w:id="22"/>
    <w:bookmarkStart w:id="23" w:name="the-legal-challenge"/>
    <w:p>
      <w:pPr>
        <w:pStyle w:val="Heading2"/>
      </w:pPr>
      <w:r>
        <w:t xml:space="preserve">3. The Legal Challenge</w:t>
      </w:r>
    </w:p>
    <w:p>
      <w:pPr>
        <w:pStyle w:val="FirstParagraph"/>
      </w:pPr>
      <w:r>
        <w:t xml:space="preserve">The complexity of this dispute was multifaceted. First, it involved cross-border elements, as key decision-making occurred outside of Malaysia Kuala Lumpur, raising questions regarding applicable law and jurisdiction. Second, the intellectual property assets were stored on servers located both domestically and internationally. Third, the reputational stakes in Malaysia Kuala Lumpur’s tight-knit business community were high; a prolonged public court battle could deter future investments.</w:t>
      </w:r>
    </w:p>
    <w:p>
      <w:pPr>
        <w:pStyle w:val="BodyText"/>
      </w:pPr>
      <w:r>
        <w:t xml:space="preserve">A key challenge was navigating the specific procedural requirements of Malaysian courts. Unlike common law jurisdictions that may allow for broader discovery phases, the Rules of Court 2012 in Malaysia impose strict timelines and limitations on evidence submission. A Lawyer with deep experience in Malaysia Kuala Lumpur’s High Court was essential to maneuver these procedural hurdles effectively.</w:t>
      </w:r>
    </w:p>
    <w:bookmarkEnd w:id="23"/>
    <w:bookmarkStart w:id="24" w:name="strategic-approach-by-the-lawyer"/>
    <w:p>
      <w:pPr>
        <w:pStyle w:val="Heading2"/>
      </w:pPr>
      <w:r>
        <w:t xml:space="preserve">4. Strategic Approach by the Lawyer</w:t>
      </w:r>
    </w:p>
    <w:p>
      <w:pPr>
        <w:pStyle w:val="FirstParagraph"/>
      </w:pPr>
      <w:r>
        <w:t xml:space="preserve">The assigned Lawyer adopted a three-pronged strategy tailored specifically for the Malaysian legal environment:</w:t>
      </w:r>
    </w:p>
    <w:p>
      <w:pPr>
        <w:numPr>
          <w:ilvl w:val="0"/>
          <w:numId w:val="1001"/>
        </w:numPr>
        <w:pStyle w:val="Compact"/>
      </w:pPr>
      <w:r>
        <w:rPr>
          <w:bCs/>
          <w:b/>
        </w:rPr>
        <w:t xml:space="preserve">Rapid Evidence Preservation:</w:t>
      </w:r>
    </w:p>
    <w:p>
      <w:pPr>
        <w:numPr>
          <w:ilvl w:val="0"/>
          <w:numId w:val="1001"/>
        </w:numPr>
        <w:pStyle w:val="Compact"/>
      </w:pPr>
      <w:r>
        <w:rPr>
          <w:bCs/>
          <w:b/>
        </w:rPr>
        <w:t xml:space="preserve">Negotiation Leverage through Pre-Action Protocols:</w:t>
      </w:r>
    </w:p>
    <w:p>
      <w:pPr>
        <w:numPr>
          <w:ilvl w:val="0"/>
          <w:numId w:val="1001"/>
        </w:numPr>
        <w:pStyle w:val="Compact"/>
      </w:pPr>
      <w:r>
        <w:rPr>
          <w:bCs/>
          <w:b/>
        </w:rPr>
        <w:t xml:space="preserve">Localized Court Representation:</w:t>
      </w:r>
    </w:p>
    <w:bookmarkEnd w:id="24"/>
    <w:bookmarkStart w:id="25" w:name="execution-and-proceedings"/>
    <w:p>
      <w:pPr>
        <w:pStyle w:val="Heading2"/>
      </w:pPr>
      <w:r>
        <w:t xml:space="preserve">5. Execution and Proceedings</w:t>
      </w:r>
    </w:p>
    <w:p>
      <w:pPr>
        <w:pStyle w:val="FirstParagraph"/>
      </w:pPr>
      <w:r>
        <w:t xml:space="preserve">The litigation process began in the Shah Alam High Court, which has jurisdiction over commercial matters in Malaysia Kuala Lumpur and surrounding areas. The Lawyer focused heavily on the defense of proprietary rights, arguing that the code in question remained intellectual property of TechNova despite partial deployment.</w:t>
      </w:r>
    </w:p>
    <w:p>
      <w:pPr>
        <w:pStyle w:val="BodyText"/>
      </w:pPr>
      <w:r>
        <w:t xml:space="preserve">A critical moment occurred during cross-examination. The opposing counsel attempted to introduce hearsay evidence regarding verbal agreements made during business dinners. However, the Lawyer successfully objected based on strict interpretations of Malaysian evidence laws regarding oral modifications to written contracts. This procedural victory forced the opposing party onto the defensive, shifting the momentum entirely.</w:t>
      </w:r>
    </w:p>
    <w:p>
      <w:pPr>
        <w:pStyle w:val="BodyText"/>
      </w:pPr>
      <w:r>
        <w:t xml:space="preserve">Furthermore, recognizing the cultural emphasis on harmony in Malaysian business practices, the Lawyer initiated mediation sessions under a neutral mediator appointed by Malaysia Kuala Lumpur’s accredited institutions. This approach aligned with local judicial preferences for resolving disputes efficiently without lengthy appeals.</w:t>
      </w:r>
    </w:p>
    <w:bookmarkEnd w:id="25"/>
    <w:bookmarkStart w:id="26" w:name="outcomes-and-results"/>
    <w:p>
      <w:pPr>
        <w:pStyle w:val="Heading2"/>
      </w:pPr>
      <w:r>
        <w:t xml:space="preserve">6. Outcomes and Results</w:t>
      </w:r>
    </w:p>
    <w:p>
      <w:pPr>
        <w:pStyle w:val="FirstParagraph"/>
      </w:pPr>
      <w:r>
        <w:t xml:space="preserve">The strategic combination of aggressive courtroom defense in Malaysia Kuala Lumpur courts and diplomatic mediation yielded a favorable settlement two months after the trial commenced. The terms included:</w:t>
      </w:r>
    </w:p>
    <w:p>
      <w:pPr>
        <w:numPr>
          <w:ilvl w:val="0"/>
          <w:numId w:val="1002"/>
        </w:numPr>
        <w:pStyle w:val="Compact"/>
      </w:pPr>
      <w:r>
        <w:t xml:space="preserve">A full acknowledgment by the partner that no breach of exclusivity occurred.</w:t>
      </w:r>
    </w:p>
    <w:p>
      <w:pPr>
        <w:numPr>
          <w:ilvl w:val="0"/>
          <w:numId w:val="1002"/>
        </w:numPr>
        <w:pStyle w:val="Compact"/>
      </w:pPr>
      <w:r>
        <w:t xml:space="preserve">A financial settlement of RM2 million, significantly lower than the initial claim but avoiding legal costs estimated at RM5 million for a full trial.</w:t>
      </w:r>
    </w:p>
    <w:p>
      <w:pPr>
        <w:numPr>
          <w:ilvl w:val="0"/>
          <w:numId w:val="1002"/>
        </w:numPr>
        <w:pStyle w:val="Compact"/>
      </w:pPr>
      <w:r>
        <w:t xml:space="preserve">The continuation of the business relationship under revised terms, preserving TechNova’s market share in Malaysia Kuala Lumpur.</w:t>
      </w:r>
    </w:p>
    <w:p>
      <w:pPr>
        <w:pStyle w:val="FirstParagraph"/>
      </w:pPr>
      <w:r>
        <w:t xml:space="preserve">This outcome demonstrated that effective representation by a Lawyer in Malaysia Kuala Lumpur is not just about winning arguments, but about achieving sustainable business resolutions within the local legal framework.</w:t>
      </w:r>
    </w:p>
    <w:bookmarkEnd w:id="26"/>
    <w:bookmarkStart w:id="27" w:name="Xd17936c6345dcd6f19dfcbae663e217ff507ad4"/>
    <w:p>
      <w:pPr>
        <w:pStyle w:val="Heading2"/>
      </w:pPr>
      <w:r>
        <w:t xml:space="preserve">7. Key Takeaways for International Businesses</w:t>
      </w:r>
    </w:p>
    <w:p>
      <w:pPr>
        <w:pStyle w:val="FirstParagraph"/>
      </w:pPr>
      <w:r>
        <w:t xml:space="preserve">This case study underscores several critical lessons for entities operating in Malaysia Kuala Lumpur:</w:t>
      </w:r>
    </w:p>
    <w:p>
      <w:pPr>
        <w:numPr>
          <w:ilvl w:val="0"/>
          <w:numId w:val="1003"/>
        </w:numPr>
        <w:pStyle w:val="Compact"/>
      </w:pPr>
      <w:r>
        <w:rPr>
          <w:bCs/>
          <w:b/>
        </w:rPr>
        <w:t xml:space="preserve">Jurisdictional Specificity Matters:</w:t>
      </w:r>
    </w:p>
    <w:p>
      <w:pPr>
        <w:numPr>
          <w:ilvl w:val="0"/>
          <w:numId w:val="1003"/>
        </w:numPr>
        <w:pStyle w:val="Compact"/>
      </w:pPr>
      <w:r>
        <w:rPr>
          <w:bCs/>
          <w:b/>
        </w:rPr>
        <w:t xml:space="preserve">The Role of the Lawyer:</w:t>
      </w:r>
    </w:p>
    <w:p>
      <w:pPr>
        <w:numPr>
          <w:ilvl w:val="0"/>
          <w:numId w:val="1003"/>
        </w:numPr>
        <w:pStyle w:val="Compact"/>
      </w:pPr>
      <w:r>
        <w:rPr>
          <w:bCs/>
          <w:b/>
        </w:rPr>
        <w:t xml:space="preserve">Importance of Local Presence:</w:t>
      </w:r>
    </w:p>
    <w:p>
      <w:pPr>
        <w:numPr>
          <w:ilvl w:val="0"/>
          <w:numId w:val="1000"/>
        </w:numPr>
        <w:pStyle w:val="Compact"/>
      </w:pPr>
      <w:r>
        <w:t xml:space="preserve">In the competitive hub of Malaysia Kuala Lumpur, having legal representation with physical proximity to courts and regulatory bodies enhances responsiveness and credibility.</w:t>
      </w:r>
    </w:p>
    <w:bookmarkEnd w:id="27"/>
    <w:bookmarkStart w:id="28" w:name="conclusion"/>
    <w:p>
      <w:pPr>
        <w:pStyle w:val="Heading2"/>
      </w:pPr>
      <w:r>
        <w:t xml:space="preserve">8. Conclusion</w:t>
      </w:r>
    </w:p>
    <w:p>
      <w:pPr>
        <w:pStyle w:val="FirstParagraph"/>
      </w:pPr>
      <w:r>
        <w:t xml:space="preserve">The dispute faced by TechNova Solutions serves as a prime example of the complexities involved in modern commercial litigation. By leveraging the expertise of a skilled Lawyer within Malaysia Kuala Lumpur, the client not only protected its intellectual property but also preserved its business interests in one of Southeast Asia’s most vital economic centers. This case reaffirms that successful legal navigation in Malaysia Kuala Lumpur requires a blend of rigorous legal knowledge, strategic foresight, and an appreciation for local judicial practices.</w:t>
      </w:r>
    </w:p>
    <w:p>
      <w:pPr>
        <w:pStyle w:val="BodyText"/>
      </w:pPr>
      <w:r>
        <w:t xml:space="preserve">For businesses operating in this dynamic region, partnering with the right Lawyer is not merely a reactive measure for dispute resolution but a proactive strategy for long-term commercial stability and growth within Malaysia Kuala Lumpur.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Strategic Legal Representation in Malaysia Kuala Lumpur</dc:title>
  <dc:creator/>
  <dc:language>en</dc:language>
  <cp:keywords/>
  <dcterms:created xsi:type="dcterms:W3CDTF">2026-07-29T20:51:16Z</dcterms:created>
  <dcterms:modified xsi:type="dcterms:W3CDTF">2026-07-29T20:51:16Z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