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Mexico</w:t>
      </w:r>
      <w:r>
        <w:t xml:space="preserve"> </w:t>
      </w:r>
      <w:r>
        <w:t xml:space="preserve">City</w:t>
      </w:r>
    </w:p>
    <w:bookmarkStart w:id="32" w:name="Xd5e0f5114aa313a30560c02be71c39ec6446db7"/>
    <w:p>
      <w:pPr>
        <w:pStyle w:val="Heading1"/>
      </w:pPr>
      <w:r>
        <w:t xml:space="preserve">Case Study: Navigating Complex Commercial Litigation with a Specialized Lawyer in Mexico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Mexico City (Ciudad de México), Federal Republic of Mexico</w:t>
      </w:r>
      <w:r>
        <w:br/>
      </w:r>
      <w:r>
        <w:rPr>
          <w:bCs/>
          <w:b/>
        </w:rPr>
        <w:t xml:space="preserve">Subject:</w:t>
      </w:r>
      <w:r>
        <w:t xml:space="preserve"> </w:t>
      </w:r>
      <w:r>
        <w:t xml:space="preserve">Corporate Dispute Resolution and Regulatory Compliance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economic landscape of Latin America, Mexico City stands as the undeniable heart of commerce, finance, and legal innovation in Mexico. However, this status brings with it a unique set of challenges for multinational corporations and local enterprises alike. This case study examines a complex commercial litigation scenario involving an international technology firm attempting to establish operations in</w:t>
      </w:r>
      <w:r>
        <w:t xml:space="preserve"> </w:t>
      </w:r>
      <w:r>
        <w:rPr>
          <w:bCs/>
          <w:b/>
        </w:rPr>
        <w:t xml:space="preserve">Mexico City</w:t>
      </w:r>
      <w:r>
        <w:t xml:space="preserve">. The central focus of this analysis is the critical role played by a specialized</w:t>
      </w:r>
      <w:r>
        <w:t xml:space="preserve"> </w:t>
      </w:r>
      <w:r>
        <w:rPr>
          <w:bCs/>
          <w:b/>
        </w:rPr>
        <w:t xml:space="preserve">Lawyer</w:t>
      </w:r>
      <w:r>
        <w:t xml:space="preserve"> </w:t>
      </w:r>
      <w:r>
        <w:t xml:space="preserve">in mitigating risk, ensuring regulatory compliance, and securing favorable outcomes within the intricate legal framework of</w:t>
      </w:r>
      <w:r>
        <w:t xml:space="preserve"> </w:t>
      </w:r>
      <w:r>
        <w:rPr>
          <w:bCs/>
          <w:b/>
        </w:rPr>
        <w:t xml:space="preserve">Mexico City</w:t>
      </w:r>
      <w:r>
        <w:t xml:space="preserve">.</w:t>
      </w:r>
    </w:p>
    <w:p>
      <w:pPr>
        <w:pStyle w:val="BodyText"/>
      </w:pPr>
      <w:r>
        <w:t xml:space="preserve">The objective of this document is to illustrate how deep local knowledge combined with strategic legal foresight can transform a potential corporate crisis into a structured business opportunity. By analyzing the procedural hurdles, cultural nuances, and statutory requirements specific to</w:t>
      </w:r>
      <w:r>
        <w:t xml:space="preserve"> </w:t>
      </w:r>
      <w:r>
        <w:rPr>
          <w:bCs/>
          <w:b/>
        </w:rPr>
        <w:t xml:space="preserve">Mexico City</w:t>
      </w:r>
      <w:r>
        <w:t xml:space="preserve">, we demonstrate why engaging a competent</w:t>
      </w:r>
      <w:r>
        <w:t xml:space="preserve"> </w:t>
      </w:r>
      <w:r>
        <w:rPr>
          <w:bCs/>
          <w:b/>
        </w:rPr>
        <w:t xml:space="preserve">Lawyer</w:t>
      </w:r>
      <w:r>
        <w:t xml:space="preserve"> </w:t>
      </w:r>
      <w:r>
        <w:t xml:space="preserve">is not merely an administrative necessity but a strategic imperative for success in this dynamic jurisdiction.</w:t>
      </w:r>
    </w:p>
    <w:bookmarkEnd w:id="20"/>
    <w:bookmarkStart w:id="21" w:name="background-of-the-case"/>
    <w:p>
      <w:pPr>
        <w:pStyle w:val="Heading2"/>
      </w:pPr>
      <w:r>
        <w:t xml:space="preserve">2. Background of the Case</w:t>
      </w:r>
    </w:p>
    <w:p>
      <w:pPr>
        <w:pStyle w:val="FirstParagraph"/>
      </w:pPr>
      <w:r>
        <w:t xml:space="preserve">The client, "TechGlobal Inc.," is a mid-sized software development company headquartered in Europe, seeking to expand its footprint into the North American market by establishing its Latin American headquarters in</w:t>
      </w:r>
      <w:r>
        <w:t xml:space="preserve"> </w:t>
      </w:r>
      <w:r>
        <w:rPr>
          <w:bCs/>
          <w:b/>
        </w:rPr>
        <w:t xml:space="preserve">Mexico City</w:t>
      </w:r>
      <w:r>
        <w:t xml:space="preserve">. The decision to locate in</w:t>
      </w:r>
      <w:r>
        <w:t xml:space="preserve"> </w:t>
      </w:r>
      <w:r>
        <w:rPr>
          <w:bCs/>
          <w:b/>
        </w:rPr>
        <w:t xml:space="preserve">Mexico City</w:t>
      </w:r>
      <w:r>
        <w:t xml:space="preserve"> </w:t>
      </w:r>
      <w:r>
        <w:t xml:space="preserve">was driven by the city's robust infrastructure, access to a highly skilled technical workforce, and proximity to other major markets. However, TechGlobal Inc. lacked prior experience with Mexican labor laws, tax regulations, and commercial litigation protocols.</w:t>
      </w:r>
    </w:p>
    <w:p>
      <w:pPr>
        <w:pStyle w:val="BodyText"/>
      </w:pPr>
      <w:r>
        <w:t xml:space="preserve">Shortly after initiating lease agreements for office space in the Polanco district of</w:t>
      </w:r>
      <w:r>
        <w:t xml:space="preserve"> </w:t>
      </w:r>
      <w:r>
        <w:rPr>
          <w:bCs/>
          <w:b/>
        </w:rPr>
        <w:t xml:space="preserve">Mexico City</w:t>
      </w:r>
      <w:r>
        <w:t xml:space="preserve"> </w:t>
      </w:r>
      <w:r>
        <w:t xml:space="preserve">and beginning recruitment processes, TechGlobal Inc. encountered a significant dispute. A former vendor alleged breach of contract regarding software licensing rights that had been ambiguously defined in an initial verbal agreement followed by incomplete email correspondence. Simultaneously, local labor authorities launched an inquiry into the classification of several freelance contractors hired during the setup phase, suspecting misclassification under Mexican federal and local laws.</w:t>
      </w:r>
    </w:p>
    <w:p>
      <w:pPr>
        <w:pStyle w:val="BodyText"/>
      </w:pPr>
      <w:r>
        <w:t xml:space="preserve">Faced with two concurrent legal threats—one commercial and one regulatory—the company realized that generalist advice was insufficient. They engaged a specialized</w:t>
      </w:r>
      <w:r>
        <w:t xml:space="preserve"> </w:t>
      </w:r>
      <w:r>
        <w:rPr>
          <w:bCs/>
          <w:b/>
        </w:rPr>
        <w:t xml:space="preserve">Lawyer</w:t>
      </w:r>
      <w:r>
        <w:t xml:space="preserve"> </w:t>
      </w:r>
      <w:r>
        <w:t xml:space="preserve">with extensive experience in corporate law specifically within</w:t>
      </w:r>
      <w:r>
        <w:t xml:space="preserve"> </w:t>
      </w:r>
      <w:r>
        <w:rPr>
          <w:bCs/>
          <w:b/>
        </w:rPr>
        <w:t xml:space="preserve">Mexico City</w:t>
      </w:r>
      <w:r>
        <w:t xml:space="preserve">. The stakes were high: the litigation could delay market entry by months, incur substantial financial penalties, and damage the company’s reputation in a competitive market.</w:t>
      </w:r>
    </w:p>
    <w:bookmarkEnd w:id="21"/>
    <w:bookmarkStart w:id="24" w:name="legal-challenges-specific-to-mexico-city"/>
    <w:p>
      <w:pPr>
        <w:pStyle w:val="Heading2"/>
      </w:pPr>
      <w:r>
        <w:t xml:space="preserve">3. Legal Challenges Specific to Mexico City</w:t>
      </w:r>
    </w:p>
    <w:p>
      <w:pPr>
        <w:pStyle w:val="FirstParagraph"/>
      </w:pPr>
      <w:r>
        <w:t xml:space="preserve">The legal environment in</w:t>
      </w:r>
      <w:r>
        <w:t xml:space="preserve"> </w:t>
      </w:r>
      <w:r>
        <w:rPr>
          <w:bCs/>
          <w:b/>
        </w:rPr>
        <w:t xml:space="preserve">Mexico City</w:t>
      </w:r>
      <w:r>
        <w:t xml:space="preserve"> </w:t>
      </w:r>
      <w:r>
        <w:t xml:space="preserve">presents distinct characteristics that require nuanced handling. Unlike federal jurisdictions which may have more standardized procedures, the local courts and administrative bodies in</w:t>
      </w:r>
      <w:r>
        <w:t xml:space="preserve"> </w:t>
      </w:r>
      <w:r>
        <w:rPr>
          <w:bCs/>
          <w:b/>
        </w:rPr>
        <w:t xml:space="preserve">Mexico City</w:t>
      </w:r>
      <w:r>
        <w:t xml:space="preserve"> </w:t>
      </w:r>
      <w:r>
        <w:t xml:space="preserve">often operate with specific procedural customs and interpretive tendencies that favor parties with deep local expertise.</w:t>
      </w:r>
    </w:p>
    <w:bookmarkStart w:id="22" w:name="Xe8400f647928f4ee591159d1ab7d1c76c273b3a"/>
    <w:p>
      <w:pPr>
        <w:pStyle w:val="Heading3"/>
      </w:pPr>
      <w:r>
        <w:t xml:space="preserve">3.1 The Commercial Dispute: Ambiguity and Evidence</w:t>
      </w:r>
    </w:p>
    <w:p>
      <w:pPr>
        <w:pStyle w:val="FirstParagraph"/>
      </w:pPr>
      <w:r>
        <w:t xml:space="preserve">The first challenge involved the vendor dispute. Under Mexican contract law, while written contracts are preferred, oral agreements can be binding if proven. However, proving the scope of an oral agreement in the courts of</w:t>
      </w:r>
      <w:r>
        <w:t xml:space="preserve"> </w:t>
      </w:r>
      <w:r>
        <w:rPr>
          <w:bCs/>
          <w:b/>
        </w:rPr>
        <w:t xml:space="preserve">Mexico City</w:t>
      </w:r>
      <w:r>
        <w:t xml:space="preserve"> </w:t>
      </w:r>
      <w:r>
        <w:t xml:space="preserve">requires more than just witness testimony; it demands a reconstruction of intent through circumstantial evidence and industry standards. The</w:t>
      </w:r>
      <w:r>
        <w:t xml:space="preserve"> </w:t>
      </w:r>
      <w:r>
        <w:rPr>
          <w:bCs/>
          <w:b/>
        </w:rPr>
        <w:t xml:space="preserve">Lawyer</w:t>
      </w:r>
      <w:r>
        <w:t xml:space="preserve"> </w:t>
      </w:r>
      <w:r>
        <w:t xml:space="preserve">had to navigate Article 1792 and subsequent articles of the Mexican Federal Civil Code, which governs obligations, while adapting to the evidentiary preferences of local judges in</w:t>
      </w:r>
      <w:r>
        <w:t xml:space="preserve"> </w:t>
      </w:r>
      <w:r>
        <w:rPr>
          <w:bCs/>
          <w:b/>
        </w:rPr>
        <w:t xml:space="preserve">Mexico City</w:t>
      </w:r>
      <w:r>
        <w:t xml:space="preserve">.</w:t>
      </w:r>
    </w:p>
    <w:bookmarkEnd w:id="22"/>
    <w:bookmarkStart w:id="23" w:name="X87ecab7135365b34e03c1759bcfa76a8b09a584"/>
    <w:p>
      <w:pPr>
        <w:pStyle w:val="Heading3"/>
      </w:pPr>
      <w:r>
        <w:t xml:space="preserve">3.2 Regulatory Compliance: Labor Classification</w:t>
      </w:r>
    </w:p>
    <w:p>
      <w:pPr>
        <w:pStyle w:val="FirstParagraph"/>
      </w:pPr>
      <w:r>
        <w:t xml:space="preserve">The second challenge was more systemic. Mexico has strict labor protection laws designed to prevent the erosion of worker rights through fake independent contractor arrangements. The inquiry by local authorities in</w:t>
      </w:r>
      <w:r>
        <w:t xml:space="preserve"> </w:t>
      </w:r>
      <w:r>
        <w:rPr>
          <w:bCs/>
          <w:b/>
        </w:rPr>
        <w:t xml:space="preserve">Mexico City</w:t>
      </w:r>
      <w:r>
        <w:t xml:space="preserve"> </w:t>
      </w:r>
      <w:r>
        <w:t xml:space="preserve">threatened not only fines but also the potential reclassification of all freelance workers as permanent employees, which would drastically alter TechGlobal’s operational costs. The</w:t>
      </w:r>
      <w:r>
        <w:t xml:space="preserve"> </w:t>
      </w:r>
      <w:r>
        <w:rPr>
          <w:bCs/>
          <w:b/>
        </w:rPr>
        <w:t xml:space="preserve">Lawyer</w:t>
      </w:r>
      <w:r>
        <w:t xml:space="preserve"> </w:t>
      </w:r>
      <w:r>
        <w:t xml:space="preserve">needed to demonstrate that the contractors were operating independently, a task complicated by the fact that some "independent" providers used company equipment and adhered to strict company hours.</w:t>
      </w:r>
    </w:p>
    <w:bookmarkEnd w:id="23"/>
    <w:bookmarkEnd w:id="24"/>
    <w:bookmarkStart w:id="28" w:name="strategic-intervention-by-the-lawyer"/>
    <w:p>
      <w:pPr>
        <w:pStyle w:val="Heading2"/>
      </w:pPr>
      <w:r>
        <w:t xml:space="preserve">4. Strategic Intervention by the Lawyer</w:t>
      </w:r>
    </w:p>
    <w:p>
      <w:pPr>
        <w:pStyle w:val="FirstParagraph"/>
      </w:pPr>
      <w:r>
        <w:t xml:space="preserve">The appointed</w:t>
      </w:r>
      <w:r>
        <w:t xml:space="preserve"> </w:t>
      </w:r>
      <w:r>
        <w:rPr>
          <w:bCs/>
          <w:b/>
        </w:rPr>
        <w:t xml:space="preserve">Lawyer</w:t>
      </w:r>
      <w:r>
        <w:t xml:space="preserve">, possessing intimate knowledge of both national statutes and local judicial practices in</w:t>
      </w:r>
      <w:r>
        <w:t xml:space="preserve"> </w:t>
      </w:r>
      <w:r>
        <w:rPr>
          <w:bCs/>
          <w:b/>
        </w:rPr>
        <w:t xml:space="preserve">Mexico City</w:t>
      </w:r>
      <w:r>
        <w:t xml:space="preserve">, implemented a multi-pronged strategy.</w:t>
      </w:r>
    </w:p>
    <w:bookmarkStart w:id="25" w:name="Xbeb3b81069129340142fa1c3eab848210181a8d"/>
    <w:p>
      <w:pPr>
        <w:pStyle w:val="Heading3"/>
      </w:pPr>
      <w:r>
        <w:rPr>
          <w:bCs/>
          <w:b/>
        </w:rPr>
        <w:t xml:space="preserve">A. Immediate Remediation and Documentation Audit</w:t>
      </w:r>
    </w:p>
    <w:p>
      <w:pPr>
        <w:pStyle w:val="FirstParagraph"/>
      </w:pPr>
      <w:r>
        <w:t xml:space="preserve">Rather than adopting an adversarial stance immediately, the</w:t>
      </w:r>
      <w:r>
        <w:t xml:space="preserve"> </w:t>
      </w:r>
      <w:r>
        <w:rPr>
          <w:bCs/>
          <w:b/>
        </w:rPr>
        <w:t xml:space="preserve">Lawyer</w:t>
      </w:r>
      <w:r>
        <w:t xml:space="preserve"> </w:t>
      </w:r>
      <w:r>
        <w:t xml:space="preserve">advised TechGlobal to conduct an internal audit. This involved reviewing all email trails, project management logs, and payment records related to both the vendor dispute and the freelance contractors. The goal was to reconstruct a paper trail that supported the company’s position that no permanent employment relationship had been intended for the contractors. In</w:t>
      </w:r>
      <w:r>
        <w:t xml:space="preserve"> </w:t>
      </w:r>
      <w:r>
        <w:rPr>
          <w:bCs/>
          <w:b/>
        </w:rPr>
        <w:t xml:space="preserve">Mexico City</w:t>
      </w:r>
      <w:r>
        <w:t xml:space="preserve">, where labor courts often interpret ambiguities in favor of workers, this documentary evidence was crucial.</w:t>
      </w:r>
    </w:p>
    <w:bookmarkEnd w:id="25"/>
    <w:bookmarkStart w:id="26" w:name="b.-alternative-dispute-resolution-adr"/>
    <w:p>
      <w:pPr>
        <w:pStyle w:val="Heading3"/>
      </w:pPr>
      <w:r>
        <w:rPr>
          <w:bCs/>
          <w:b/>
        </w:rPr>
        <w:t xml:space="preserve">B. Alternative Dispute Resolution (ADR)</w:t>
      </w:r>
    </w:p>
    <w:p>
      <w:pPr>
        <w:pStyle w:val="FirstParagraph"/>
      </w:pPr>
      <w:r>
        <w:t xml:space="preserve">Recognizing that litigation in Mexico can be protracted and public, the</w:t>
      </w:r>
      <w:r>
        <w:t xml:space="preserve"> </w:t>
      </w:r>
      <w:r>
        <w:rPr>
          <w:bCs/>
          <w:b/>
        </w:rPr>
        <w:t xml:space="preserve">Lawyer</w:t>
      </w:r>
      <w:r>
        <w:t xml:space="preserve"> </w:t>
      </w:r>
      <w:r>
        <w:t xml:space="preserve">prioritized mediation for the vendor dispute. Leveraging relationships with accredited mediators in</w:t>
      </w:r>
      <w:r>
        <w:t xml:space="preserve"> </w:t>
      </w:r>
      <w:r>
        <w:rPr>
          <w:bCs/>
          <w:b/>
        </w:rPr>
        <w:t xml:space="preserve">Mexico City</w:t>
      </w:r>
      <w:r>
        <w:t xml:space="preserve">, the lawyer facilitated a negotiation session. The argument was not just legal but commercial: continued litigation would harm both parties’ reputations in a tight-knit tech community in</w:t>
      </w:r>
      <w:r>
        <w:t xml:space="preserve"> </w:t>
      </w:r>
      <w:r>
        <w:rPr>
          <w:bCs/>
          <w:b/>
        </w:rPr>
        <w:t xml:space="preserve">Mexico City</w:t>
      </w:r>
      <w:r>
        <w:t xml:space="preserve">. This approach resulted in a settlement where TechGlobal paid 40% of the claimed amount, avoiding trial costs and preserving business relationships.</w:t>
      </w:r>
    </w:p>
    <w:bookmarkEnd w:id="26"/>
    <w:bookmarkStart w:id="27" w:name="c.-structural-reform-for-compliance"/>
    <w:p>
      <w:pPr>
        <w:pStyle w:val="Heading3"/>
      </w:pPr>
      <w:r>
        <w:rPr>
          <w:bCs/>
          <w:b/>
        </w:rPr>
        <w:t xml:space="preserve">C. Structural Reform for Compliance</w:t>
      </w:r>
    </w:p>
    <w:p>
      <w:pPr>
        <w:pStyle w:val="FirstParagraph"/>
      </w:pPr>
      <w:r>
        <w:t xml:space="preserve">For the labor inquiry, the</w:t>
      </w:r>
      <w:r>
        <w:t xml:space="preserve"> </w:t>
      </w:r>
      <w:r>
        <w:rPr>
          <w:bCs/>
          <w:b/>
        </w:rPr>
        <w:t xml:space="preserve">Lawyer</w:t>
      </w:r>
      <w:r>
        <w:t xml:space="preserve"> </w:t>
      </w:r>
      <w:r>
        <w:t xml:space="preserve">recommended an immediate restructuring of engagement contracts. New agreements were drafted to clearly delineate deliverables rather than hours worked, ensuring alignment with Mexican labor law requirements for true independent contractors. The</w:t>
      </w:r>
      <w:r>
        <w:t xml:space="preserve"> </w:t>
      </w:r>
      <w:r>
        <w:rPr>
          <w:bCs/>
          <w:b/>
        </w:rPr>
        <w:t xml:space="preserve">Lawyer</w:t>
      </w:r>
      <w:r>
        <w:t xml:space="preserve"> </w:t>
      </w:r>
      <w:r>
        <w:t xml:space="preserve">also engaged directly with the inspectors in</w:t>
      </w:r>
    </w:p>
    <w:p>
      <w:pPr>
        <w:pStyle w:val="BodyText"/>
      </w:pPr>
      <w:r>
        <w:t xml:space="preserve">Mexico City, presenting the new contractual framework and evidence of prior corrective actions. This proactive cooperation led to a reduced fine and a warning rather than an immediate shutdown order.</w:t>
      </w:r>
    </w:p>
    <w:bookmarkEnd w:id="27"/>
    <w:bookmarkEnd w:id="28"/>
    <w:bookmarkStart w:id="29" w:name="outcomes-and-results"/>
    <w:p>
      <w:pPr>
        <w:pStyle w:val="Heading2"/>
      </w:pPr>
      <w:r>
        <w:t xml:space="preserve">5. Outcomes and Results</w:t>
      </w:r>
    </w:p>
    <w:p>
      <w:pPr>
        <w:pStyle w:val="FirstParagraph"/>
      </w:pPr>
      <w:r>
        <w:t xml:space="preserve">The intervention by the specialized</w:t>
      </w:r>
      <w:r>
        <w:t xml:space="preserve"> </w:t>
      </w:r>
      <w:r>
        <w:rPr>
          <w:bCs/>
          <w:b/>
        </w:rPr>
        <w:t xml:space="preserve">Lawyer</w:t>
      </w:r>
      <w:r>
        <w:t xml:space="preserve"> </w:t>
      </w:r>
      <w:r>
        <w:t xml:space="preserve">yielded significant positive outcomes for TechGlobal Inc.:</w:t>
      </w:r>
    </w:p>
    <w:p>
      <w:pPr>
        <w:pStyle w:val="BodyText"/>
      </w:pPr>
      <w:r>
        <w:rPr>
          <w:bCs/>
          <w:b/>
        </w:rPr>
        <w:t xml:space="preserve">Risk Mitigation:</w:t>
      </w:r>
      <w:r>
        <w:t xml:space="preserve"> </w:t>
      </w:r>
      <w:r>
        <w:t xml:space="preserve">The commercial dispute was settled out of court, saving approximately $150,000 in potential damages and legal fees.</w:t>
      </w:r>
    </w:p>
    <w:p>
      <w:pPr>
        <w:pStyle w:val="BodyText"/>
      </w:pPr>
      <w:r>
        <w:rPr>
          <w:bCs/>
          <w:b/>
        </w:rPr>
        <w:t xml:space="preserve">Operational Continuity:</w:t>
      </w:r>
      <w:r>
        <w:t xml:space="preserve"> </w:t>
      </w:r>
      <w:r>
        <w:t xml:space="preserve">The labor inquiry was resolved without halting recruitment or operations. TechGlobal was able to launch its</w:t>
      </w:r>
      <w:r>
        <w:t xml:space="preserve"> </w:t>
      </w:r>
      <w:r>
        <w:rPr>
          <w:bCs/>
          <w:b/>
        </w:rPr>
        <w:t xml:space="preserve">Mexico City</w:t>
      </w:r>
      <w:r>
        <w:t xml:space="preserve"> </w:t>
      </w:r>
      <w:r>
        <w:t xml:space="preserve">headquarters on schedule.</w:t>
      </w:r>
    </w:p>
    <w:p>
      <w:pPr>
        <w:pStyle w:val="BodyText"/>
      </w:pPr>
      <w:r>
        <w:rPr>
          <w:bCs/>
          <w:b/>
        </w:rPr>
        <w:t xml:space="preserve">Regulatory Trust:</w:t>
      </w:r>
      <w:r>
        <w:t xml:space="preserve"> </w:t>
      </w:r>
      <w:r>
        <w:t xml:space="preserve">By cooperating with authorities, the company built a positive relationship with local regulators in</w:t>
      </w:r>
      <w:r>
        <w:t xml:space="preserve"> </w:t>
      </w:r>
      <w:r>
        <w:rPr>
          <w:bCs/>
          <w:b/>
        </w:rPr>
        <w:t xml:space="preserve">Mexico City</w:t>
      </w:r>
      <w:r>
        <w:t xml:space="preserve">, facilitating smoother inspections in the future.</w:t>
      </w:r>
    </w:p>
    <w:p>
      <w:pPr>
        <w:pStyle w:val="BodyText"/>
      </w:pPr>
      <w:r>
        <w:rPr>
          <w:bCs/>
          <w:b/>
        </w:rPr>
        <w:t xml:space="preserve">Cultural Integration:</w:t>
      </w:r>
      <w:r>
        <w:t xml:space="preserve"> </w:t>
      </w:r>
      <w:r>
        <w:t xml:space="preserve">The legal strategies employed respected local business etiquette, helping TechGlobal integrate better into the</w:t>
      </w:r>
      <w:r>
        <w:t xml:space="preserve"> </w:t>
      </w:r>
      <w:r>
        <w:rPr>
          <w:bCs/>
          <w:b/>
        </w:rPr>
        <w:t xml:space="preserve">Mexico City</w:t>
      </w:r>
      <w:r>
        <w:t xml:space="preserve"> </w:t>
      </w:r>
      <w:r>
        <w:t xml:space="preserve">business ecosystem.</w:t>
      </w:r>
    </w:p>
    <w:bookmarkEnd w:id="29"/>
    <w:bookmarkStart w:id="30" w:name="Xd17936c6345dcd6f19dfcbae663e217ff507ad4"/>
    <w:p>
      <w:pPr>
        <w:pStyle w:val="Heading2"/>
      </w:pPr>
      <w:r>
        <w:t xml:space="preserve">6. Key Takeaways for International Businesses</w:t>
      </w:r>
    </w:p>
    <w:p>
      <w:pPr>
        <w:pStyle w:val="FirstParagraph"/>
      </w:pPr>
      <w:r>
        <w:t xml:space="preserve">This case study underscores several critical lessons for any entity planning to operate in</w:t>
      </w:r>
      <w:r>
        <w:t xml:space="preserve"> </w:t>
      </w:r>
      <w:r>
        <w:rPr>
          <w:bCs/>
          <w:b/>
        </w:rPr>
        <w:t xml:space="preserve">Mexico City</w:t>
      </w:r>
      <w:r>
        <w:t xml:space="preserve">:</w:t>
      </w:r>
    </w:p>
    <w:p>
      <w:pPr>
        <w:numPr>
          <w:ilvl w:val="0"/>
          <w:numId w:val="1001"/>
        </w:numPr>
        <w:pStyle w:val="Compact"/>
      </w:pPr>
      <w:r>
        <w:rPr>
          <w:bCs/>
          <w:b/>
        </w:rPr>
        <w:t xml:space="preserve">Local Expertise is Non-Negotiable:</w:t>
      </w:r>
      <w:r>
        <w:t xml:space="preserve"> </w:t>
      </w:r>
      <w:r>
        <w:t xml:space="preserve">A generalist lawyer from abroad or even a generic national firm may lack the nuanced understanding of how courts and agencies in</w:t>
      </w:r>
    </w:p>
    <w:p>
      <w:pPr>
        <w:numPr>
          <w:ilvl w:val="0"/>
          <w:numId w:val="1000"/>
        </w:numPr>
        <w:pStyle w:val="Compact"/>
      </w:pPr>
      <w:r>
        <w:t xml:space="preserve">Mexico City function. The specific legal culture of the capital city requires a</w:t>
      </w:r>
      <w:r>
        <w:t xml:space="preserve"> </w:t>
      </w:r>
      <w:r>
        <w:rPr>
          <w:bCs/>
          <w:b/>
        </w:rPr>
        <w:t xml:space="preserve">Lawyer</w:t>
      </w:r>
      <w:r>
        <w:t xml:space="preserve"> </w:t>
      </w:r>
      <w:r>
        <w:t xml:space="preserve">who understands local precedents and administrative tendencies.</w:t>
      </w:r>
    </w:p>
    <w:p>
      <w:pPr>
        <w:numPr>
          <w:ilvl w:val="0"/>
          <w:numId w:val="1001"/>
        </w:numPr>
        <w:pStyle w:val="Compact"/>
      </w:pPr>
      <w:r>
        <w:rPr>
          <w:bCs/>
          <w:b/>
        </w:rPr>
        <w:t xml:space="preserve">Proactivity Over Reactivity:</w:t>
      </w:r>
      <w:r>
        <w:t xml:space="preserve"> </w:t>
      </w:r>
      <w:r>
        <w:t xml:space="preserve">Waiting for litigation to commence is a costly mistake in</w:t>
      </w:r>
    </w:p>
    <w:p>
      <w:pPr>
        <w:numPr>
          <w:ilvl w:val="0"/>
          <w:numId w:val="1000"/>
        </w:numPr>
        <w:pStyle w:val="Compact"/>
      </w:pPr>
      <w:r>
        <w:t xml:space="preserve">Mexico City. Engaging legal counsel during the setup phase allows for preventative compliance measures.</w:t>
      </w:r>
    </w:p>
    <w:p>
      <w:pPr>
        <w:numPr>
          <w:ilvl w:val="0"/>
          <w:numId w:val="1001"/>
        </w:numPr>
        <w:pStyle w:val="Compact"/>
      </w:pPr>
      <w:r>
        <w:rPr>
          <w:bCs/>
          <w:b/>
        </w:rPr>
        <w:t xml:space="preserve">The Importance of Documentation:</w:t>
      </w:r>
      <w:r>
        <w:t xml:space="preserve"> </w:t>
      </w:r>
      <w:r>
        <w:t xml:space="preserve">In both commercial and labor contexts, the quality of internal documentation can make or break a defense. A skilled</w:t>
      </w:r>
      <w:r>
        <w:t xml:space="preserve"> </w:t>
      </w:r>
      <w:r>
        <w:rPr>
          <w:bCs/>
          <w:b/>
        </w:rPr>
        <w:t xml:space="preserve">Lawyer</w:t>
      </w:r>
      <w:r>
        <w:t xml:space="preserve"> </w:t>
      </w:r>
      <w:r>
        <w:t xml:space="preserve">in</w:t>
      </w:r>
    </w:p>
    <w:p>
      <w:pPr>
        <w:numPr>
          <w:ilvl w:val="0"/>
          <w:numId w:val="1000"/>
        </w:numPr>
        <w:pStyle w:val="Compact"/>
      </w:pPr>
      <w:r>
        <w:t xml:space="preserve">Mexico City knows exactly what types of evidence local tribunals value.</w:t>
      </w:r>
    </w:p>
    <w:p>
      <w:pPr>
        <w:numPr>
          <w:ilvl w:val="0"/>
          <w:numId w:val="1001"/>
        </w:numPr>
        <w:pStyle w:val="Compact"/>
      </w:pPr>
      <w:r>
        <w:rPr>
          <w:bCs/>
          <w:b/>
        </w:rPr>
        <w:t xml:space="preserve">Negotiation Skills:</w:t>
      </w:r>
      <w:r>
        <w:t xml:space="preserve"> </w:t>
      </w:r>
      <w:r>
        <w:t xml:space="preserve">The Mexican legal system in</w:t>
      </w:r>
    </w:p>
    <w:p>
      <w:pPr>
        <w:numPr>
          <w:ilvl w:val="0"/>
          <w:numId w:val="1000"/>
        </w:numPr>
        <w:pStyle w:val="Compact"/>
      </w:pPr>
      <w:r>
        <w:t xml:space="preserve">Mexico City, while adversarial, heavily favors settlement. A lawyer who can negotiate effectively is often more valuable than one who simply litigates aggressively.</w:t>
      </w:r>
    </w:p>
    <w:bookmarkEnd w:id="30"/>
    <w:bookmarkStart w:id="31" w:name="conclusion"/>
    <w:p>
      <w:pPr>
        <w:pStyle w:val="Heading2"/>
      </w:pPr>
      <w:r>
        <w:t xml:space="preserve">7. Conclusion</w:t>
      </w:r>
    </w:p>
    <w:p>
      <w:pPr>
        <w:pStyle w:val="FirstParagraph"/>
      </w:pPr>
      <w:r>
        <w:t xml:space="preserve">The expansion of TechGlobal Inc. into</w:t>
      </w:r>
      <w:r>
        <w:t xml:space="preserve"> </w:t>
      </w:r>
      <w:r>
        <w:rPr>
          <w:bCs/>
          <w:b/>
        </w:rPr>
        <w:t xml:space="preserve">Mexico City</w:t>
      </w:r>
      <w:r>
        <w:t xml:space="preserve"> </w:t>
      </w:r>
      <w:r>
        <w:t xml:space="preserve">serves as a prime example of how legal complexity can be managed through strategic partnership with a qualified professional. The case highlights that while the economic opportunities in Mexico are vast, they are guarded by a complex regulatory environment. A specialized</w:t>
      </w:r>
      <w:r>
        <w:t xml:space="preserve"> </w:t>
      </w:r>
      <w:r>
        <w:rPr>
          <w:bCs/>
          <w:b/>
        </w:rPr>
        <w:t xml:space="preserve">Lawyer</w:t>
      </w:r>
      <w:r>
        <w:t xml:space="preserve"> </w:t>
      </w:r>
      <w:r>
        <w:t xml:space="preserve">acts not just as a defender in court, but as a strategic advisor who navigates the specific legal topography of</w:t>
      </w:r>
    </w:p>
    <w:p>
      <w:pPr>
        <w:pStyle w:val="BodyText"/>
      </w:pPr>
      <w:r>
        <w:t xml:space="preserve">Mexico City. For any business aiming to succeed in this vibrant metropolis, understanding that local legal counsel is an investment rather than an expense is paramount. The interplay between robust legal strategy and local market knowledge ensures that companies can thrive in</w:t>
      </w:r>
      <w:r>
        <w:t xml:space="preserve"> </w:t>
      </w:r>
      <w:r>
        <w:rPr>
          <w:bCs/>
          <w:b/>
        </w:rPr>
        <w:t xml:space="preserve">Mexico City</w:t>
      </w:r>
      <w:r>
        <w:t xml:space="preserve">, turning potential legal obstacles into structured pathways for growth.</w:t>
      </w:r>
    </w:p>
    <w:p>
      <w:r>
        <w:pict>
          <v:rect style="width:0;height:1.5pt" o:hralign="center" o:hrstd="t" o:hr="t"/>
        </w:pict>
      </w:r>
    </w:p>
    <w:p>
      <w:pPr>
        <w:pStyle w:val="FirstParagraph"/>
      </w:pPr>
      <w:r>
        <w:rPr>
          <w:iCs/>
          <w:i/>
        </w:rPr>
        <w:t xml:space="preserve">Disclaimer: This case study is for informational purposes only and does not constitute legal advice. Specific legal situations vary, and consultation with a qualified attorney licensed in Mexico is recommended before making any legal decisions.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Mexico City</dc:title>
  <dc:creator/>
  <dc:language>en</dc:language>
  <cp:keywords/>
  <dcterms:created xsi:type="dcterms:W3CDTF">2026-07-29T07:41:04Z</dcterms:created>
  <dcterms:modified xsi:type="dcterms:W3CDTF">2026-07-29T07:41:04Z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