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in</w:t>
      </w:r>
      <w:r>
        <w:t xml:space="preserve"> </w:t>
      </w:r>
      <w:r>
        <w:t xml:space="preserve">Morocco</w:t>
      </w:r>
      <w:r>
        <w:t xml:space="preserve"> </w:t>
      </w:r>
      <w:r>
        <w:t xml:space="preserve">Casablanca</w:t>
      </w:r>
    </w:p>
    <w:bookmarkStart w:id="30" w:name="Xbcb252d9c4dcbb29a6c2cc0f5074e029b8019bc"/>
    <w:p>
      <w:pPr>
        <w:pStyle w:val="Heading1"/>
      </w:pPr>
      <w:r>
        <w:t xml:space="preserve">Case Study: Strategic Legal Representation in Morocco Casablanca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Successfully</w:t>
      </w:r>
      <w:r>
        <w:br/>
      </w:r>
      <w:r>
        <w:rPr>
          <w:bCs/>
          <w:b/>
        </w:rPr>
        <w:t xml:space="preserve">Jurisdiction:</w:t>
      </w:r>
    </w:p>
    <w:bookmarkStart w:id="20" w:name="executive-summary"/>
    <w:p>
      <w:pPr>
        <w:pStyle w:val="Heading2"/>
      </w:pPr>
      <w:r>
        <w:t xml:space="preserve">Executive Summary</w:t>
      </w:r>
    </w:p>
    <w:p>
      <w:pPr>
        <w:pStyle w:val="FirstParagraph"/>
      </w:pPr>
      <w:r>
        <w:t xml:space="preserve">This case study examines a complex cross-border commercial dispute involving international stakeholders operating within the dynamic economic hub of Morocco. The primary focus is on how specialized legal counsel in Casablanca navigated the intricate intersection of Moroccan civil law, international commercial standards, and local administrative regulations. By engaging a top-tier</w:t>
      </w:r>
      <w:r>
        <w:t xml:space="preserve"> </w:t>
      </w:r>
      <w:r>
        <w:rPr>
          <w:bCs/>
          <w:b/>
        </w:rPr>
        <w:t xml:space="preserve">Lawyer</w:t>
      </w:r>
      <w:r>
        <w:t xml:space="preserve"> </w:t>
      </w:r>
      <w:r>
        <w:t xml:space="preserve">based in</w:t>
      </w:r>
      <w:r>
        <w:t xml:space="preserve"> </w:t>
      </w:r>
      <w:r>
        <w:rPr>
          <w:bCs/>
          <w:b/>
        </w:rPr>
        <w:t xml:space="preserve">Morocco Casablanca</w:t>
      </w:r>
      <w:r>
        <w:t xml:space="preserve">, the client was able to resolve a high-stakes contractual disagreement that threatened significant financial loss and operational downtime. This document outlines the challenges faced, the legal strategies employed, and the ultimate outcome, serving as a benchmark for conducting business in one of North Africa’s most vital commercial centers.</w:t>
      </w:r>
    </w:p>
    <w:bookmarkEnd w:id="20"/>
    <w:bookmarkStart w:id="21" w:name="background-the-client-and-context"/>
    <w:p>
      <w:pPr>
        <w:pStyle w:val="Heading2"/>
      </w:pPr>
      <w:r>
        <w:t xml:space="preserve">Background: The Client and Context</w:t>
      </w:r>
    </w:p>
    <w:p>
      <w:pPr>
        <w:pStyle w:val="FirstParagraph"/>
      </w:pPr>
      <w:r>
        <w:t xml:space="preserve">The client was a mid-sized European technology firm seeking to expand its logistics infrastructure into North Africa. Their entry point was Casablanca, the economic capital of Morocco, chosen for its strategic port facilities and growing digital economy initiatives. To facilitate this expansion, the company entered into a joint venture agreement with a local Moroccan conglomerate. The agreement stipulated that the European firm would provide proprietary software systems while the local partner managed regulatory compliance and real estate acquisition.</w:t>
      </w:r>
    </w:p>
    <w:p>
      <w:pPr>
        <w:pStyle w:val="BodyText"/>
      </w:pPr>
      <w:r>
        <w:t xml:space="preserve">The location of operations was strictly centered in</w:t>
      </w:r>
      <w:r>
        <w:t xml:space="preserve"> </w:t>
      </w:r>
      <w:r>
        <w:rPr>
          <w:bCs/>
          <w:b/>
        </w:rPr>
        <w:t xml:space="preserve">Morocco Casablanca</w:t>
      </w:r>
      <w:r>
        <w:t xml:space="preserve">, specifically within the Casablanca Finance City (CFC) free zone, which operates under a hybrid legal framework influenced by both French civil law traditions and Anglo-American common law principles. This unique jurisdictional environment required a nuanced understanding of local laws that goes beyond general knowledge of Moroccan statutes.</w:t>
      </w:r>
    </w:p>
    <w:bookmarkEnd w:id="21"/>
    <w:bookmarkStart w:id="22" w:name="X65d51b140e38bf7b1cbfdc9ae4c70c3ac1bfff7"/>
    <w:p>
      <w:pPr>
        <w:pStyle w:val="Heading2"/>
      </w:pPr>
      <w:r>
        <w:t xml:space="preserve">The Challenge: Breach of Contract and Regulatory Hurdles</w:t>
      </w:r>
    </w:p>
    <w:p>
      <w:pPr>
        <w:pStyle w:val="FirstParagraph"/>
      </w:pPr>
      <w:r>
        <w:t xml:space="preserve">Six months into the joint venture, significant discrepancies emerged. The local partner failed to secure necessary municipal permits for the construction phase, citing ambiguous interpretations of zoning laws in Casablanca. Simultaneously, they withheld payments that were due according to the milestone schedule defined in the contract. Furthermore, rumors circulated within local business circles suggesting that the delay was a strategic move to pressure a renegotiation of equity shares.</w:t>
      </w:r>
    </w:p>
    <w:p>
      <w:pPr>
        <w:pStyle w:val="BodyText"/>
      </w:pPr>
      <w:r>
        <w:t xml:space="preserve">The European client faced two critical issues:</w:t>
      </w:r>
    </w:p>
    <w:p>
      <w:pPr>
        <w:numPr>
          <w:ilvl w:val="0"/>
          <w:numId w:val="1001"/>
        </w:numPr>
        <w:pStyle w:val="Compact"/>
      </w:pPr>
      <w:r>
        <w:rPr>
          <w:bCs/>
          <w:b/>
        </w:rPr>
        <w:t xml:space="preserve">Cultural and Legal Miscommunication:</w:t>
      </w:r>
      <w:r>
        <w:t xml:space="preserve"> </w:t>
      </w:r>
      <w:r>
        <w:t xml:space="preserve">The concept of "good faith" in negotiation differed significantly between the European management and the local partners, leading to a breakdown in trust.</w:t>
      </w:r>
    </w:p>
    <w:p>
      <w:pPr>
        <w:numPr>
          <w:ilvl w:val="0"/>
          <w:numId w:val="1001"/>
        </w:numPr>
        <w:pStyle w:val="Compact"/>
      </w:pPr>
      <w:r>
        <w:rPr>
          <w:bCs/>
          <w:b/>
        </w:rPr>
        <w:t xml:space="preserve">Jurisdictional Complexity:</w:t>
      </w:r>
      <w:r>
        <w:t xml:space="preserve"> </w:t>
      </w:r>
      <w:r>
        <w:t xml:space="preserve">Disputing matters within</w:t>
      </w:r>
      <w:r>
        <w:t xml:space="preserve"> </w:t>
      </w:r>
      <w:r>
        <w:rPr>
          <w:bCs/>
          <w:b/>
        </w:rPr>
        <w:t xml:space="preserve">Morocco Casablanca</w:t>
      </w:r>
      <w:r>
        <w:t xml:space="preserve"> </w:t>
      </w:r>
      <w:r>
        <w:t xml:space="preserve">required navigating not only the Commercial Court but also potentially administrative tribunals due to the involvement of municipal permits.</w:t>
      </w:r>
    </w:p>
    <w:p>
      <w:pPr>
        <w:pStyle w:val="FirstParagraph"/>
      </w:pPr>
      <w:r>
        <w:t xml:space="preserve">The client realized that general international arbitration clauses were insufficient without robust local enforcement mechanisms. They required a</w:t>
      </w:r>
      <w:r>
        <w:t xml:space="preserve"> </w:t>
      </w:r>
      <w:r>
        <w:rPr>
          <w:bCs/>
          <w:b/>
        </w:rPr>
        <w:t xml:space="preserve">Lawyer</w:t>
      </w:r>
      <w:r>
        <w:t xml:space="preserve"> </w:t>
      </w:r>
      <w:r>
        <w:t xml:space="preserve">who possessed deep institutional knowledge of the Casablanca legal landscape, strong relationships with local court officials, and fluency in both Arabic and French, the working languages of Moroccan courts.</w:t>
      </w:r>
    </w:p>
    <w:bookmarkEnd w:id="22"/>
    <w:bookmarkStart w:id="26" w:name="X2ea9bad04e014fa4659163361e445e89ee58224"/>
    <w:p>
      <w:pPr>
        <w:pStyle w:val="Heading2"/>
      </w:pPr>
      <w:r>
        <w:t xml:space="preserve">The Intervention: Legal Strategy Formulation</w:t>
      </w:r>
    </w:p>
    <w:p>
      <w:pPr>
        <w:pStyle w:val="FirstParagraph"/>
      </w:pPr>
      <w:r>
        <w:t xml:space="preserve">The client retained a specialized firm based in central Casablanca. The assigned lead attorney initiated a three-pronged legal strategy:</w:t>
      </w:r>
    </w:p>
    <w:bookmarkStart w:id="23" w:name="X6c9723f8798fbf81ebb9a778a35744f6beb4bc6"/>
    <w:p>
      <w:pPr>
        <w:pStyle w:val="Heading3"/>
      </w:pPr>
      <w:r>
        <w:t xml:space="preserve">1. Immediate Audit and Documentation Preservation</w:t>
      </w:r>
    </w:p>
    <w:p>
      <w:pPr>
        <w:pStyle w:val="FirstParagraph"/>
      </w:pPr>
      <w:r>
        <w:t xml:space="preserve">The first step was to conduct a forensic audit of all communications, financial transfers, and permit applications filed with the Casablanca municipality. This was crucial because Moroccan law places heavy emphasis on written documentation over verbal agreements or informal understandings. The lawyer ensured that every discrepancy in the permit timeline was formally documented in French and Arabic, creating an undeniable paper trail.</w:t>
      </w:r>
    </w:p>
    <w:bookmarkEnd w:id="23"/>
    <w:bookmarkStart w:id="24" w:name="X4008d9e645deb2082c325b1d5cf9541717256a6"/>
    <w:p>
      <w:pPr>
        <w:pStyle w:val="Heading3"/>
      </w:pPr>
      <w:r>
        <w:t xml:space="preserve">2. Alternative Dispute Resolution (ADR) Leveraging Local Networks</w:t>
      </w:r>
    </w:p>
    <w:p>
      <w:pPr>
        <w:pStyle w:val="FirstParagraph"/>
      </w:pPr>
      <w:r>
        <w:t xml:space="preserve">Rather than immediately filing a lawsuit, which can be protracted in Moroccan courts, the lawyer utilized their standing within the Casablanca Bar Association to initiate formal mediation. The goal was to signal resolve without escalating costs prematurely. The lawyer presented a detailed legal opinion highlighting the breach of contract under Article 286 of the Moroccan Code of Obligations and Contracts (DOC). This approach demonstrated technical proficiency and put pressure on the opposing party, who realized that litigation would likely result in an unfavorable judgment.</w:t>
      </w:r>
    </w:p>
    <w:bookmarkEnd w:id="24"/>
    <w:bookmarkStart w:id="25" w:name="parallel-administrative-action"/>
    <w:p>
      <w:pPr>
        <w:pStyle w:val="Heading3"/>
      </w:pPr>
      <w:r>
        <w:t xml:space="preserve">3. Parallel Administrative Action</w:t>
      </w:r>
    </w:p>
    <w:p>
      <w:pPr>
        <w:pStyle w:val="FirstParagraph"/>
      </w:pPr>
      <w:r>
        <w:t xml:space="preserve">To address the permit issues specifically tied to local regulations in Casablanca, the lawyer filed a complaint with the relevant administrative oversight body. This action was not necessarily intended to win an immediate ruling but to demonstrate that the client was willing to engage all levels of Moroccan governance. It highlighted that delays caused by regulatory negligence would be met with formal legal challenges.</w:t>
      </w:r>
    </w:p>
    <w:bookmarkEnd w:id="25"/>
    <w:bookmarkEnd w:id="26"/>
    <w:bookmarkStart w:id="27" w:name="the-resolution-outcome-and-enforcement"/>
    <w:p>
      <w:pPr>
        <w:pStyle w:val="Heading2"/>
      </w:pPr>
      <w:r>
        <w:t xml:space="preserve">The Resolution: Outcome and Enforcement</w:t>
      </w:r>
    </w:p>
    <w:p>
      <w:pPr>
        <w:pStyle w:val="FirstParagraph"/>
      </w:pPr>
      <w:r>
        <w:t xml:space="preserve">The combination of rigorous documentation, strategic mediation, and the threat of administrative litigation proved effective. Within three weeks, the opposing party returned to the negotiating table. The lead</w:t>
      </w:r>
      <w:r>
        <w:t xml:space="preserve"> </w:t>
      </w:r>
      <w:r>
        <w:rPr>
          <w:bCs/>
          <w:b/>
        </w:rPr>
        <w:t xml:space="preserve">Lawyer</w:t>
      </w:r>
      <w:r>
        <w:t xml:space="preserve"> </w:t>
      </w:r>
      <w:r>
        <w:t xml:space="preserve">in Casablanca facilitated a settlement that included:</w:t>
      </w:r>
    </w:p>
    <w:p>
      <w:pPr>
        <w:numPr>
          <w:ilvl w:val="0"/>
          <w:numId w:val="1002"/>
        </w:numPr>
        <w:pStyle w:val="Compact"/>
      </w:pPr>
      <w:r>
        <w:rPr>
          <w:bCs/>
          <w:b/>
        </w:rPr>
        <w:t xml:space="preserve">Retroactive Payment:</w:t>
      </w:r>
      <w:r>
        <w:t xml:space="preserve"> </w:t>
      </w:r>
      <w:r>
        <w:t xml:space="preserve">The local partner paid all withheld milestones plus interest as per contractual terms.</w:t>
      </w:r>
    </w:p>
    <w:p>
      <w:pPr>
        <w:numPr>
          <w:ilvl w:val="0"/>
          <w:numId w:val="1002"/>
        </w:numPr>
        <w:pStyle w:val="Compact"/>
      </w:pPr>
      <w:r>
        <w:rPr>
          <w:bCs/>
          <w:b/>
        </w:rPr>
        <w:t xml:space="preserve">Timeline Adjustment:</w:t>
      </w:r>
      <w:r>
        <w:t xml:space="preserve">A revised, binding schedule for permit acquisition was established, with penalties for further delays.</w:t>
      </w:r>
    </w:p>
    <w:p>
      <w:pPr>
        <w:numPr>
          <w:ilvl w:val="0"/>
          <w:numId w:val="1002"/>
        </w:numPr>
        <w:pStyle w:val="Compact"/>
      </w:pPr>
      <w:r>
        <w:rPr>
          <w:bCs/>
          <w:b/>
        </w:rPr>
        <w:t xml:space="preserve">Governance Reform:</w:t>
      </w:r>
      <w:r>
        <w:t xml:space="preserve">New oversight committees were formed, including representatives from the European client’s legal team to ensure transparency in future dealings within Morocco.</w:t>
      </w:r>
    </w:p>
    <w:p>
      <w:pPr>
        <w:pStyle w:val="FirstParagraph"/>
      </w:pPr>
      <w:r>
        <w:t xml:space="preserve">The settlement was formalized through a notarized agreement and registered with the local commercial registry in Casablanca, giving it full force of law. Importantly, because the</w:t>
      </w:r>
      <w:r>
        <w:t xml:space="preserve"> </w:t>
      </w:r>
      <w:r>
        <w:rPr>
          <w:bCs/>
          <w:b/>
        </w:rPr>
        <w:t xml:space="preserve">Lawyer</w:t>
      </w:r>
      <w:r>
        <w:t xml:space="preserve"> </w:t>
      </w:r>
      <w:r>
        <w:t xml:space="preserve">ensured all documents were compliant with Moroccan formatting and linguistic requirements, there were no immediate grounds for appeal by the opposing party.</w:t>
      </w:r>
    </w:p>
    <w:bookmarkEnd w:id="27"/>
    <w:bookmarkStart w:id="28" w:name="key-learnings-and-strategic-implications"/>
    <w:p>
      <w:pPr>
        <w:pStyle w:val="Heading2"/>
      </w:pPr>
      <w:r>
        <w:t xml:space="preserve">Key Learnings and Strategic Implications</w:t>
      </w:r>
    </w:p>
    <w:p>
      <w:pPr>
        <w:pStyle w:val="FirstParagraph"/>
      </w:pPr>
      <w:r>
        <w:t xml:space="preserve">This case study underscores several critical factors for businesses operating in Morocco, particularly in its primary economic center of Casablanca:</w:t>
      </w:r>
    </w:p>
    <w:p>
      <w:pPr>
        <w:pStyle w:val="BodyText"/>
      </w:pPr>
      <w:r>
        <w:rPr>
          <w:bCs/>
          <w:b/>
        </w:rPr>
        <w:t xml:space="preserve">Critical Insight 1: Local Expertise is Non-Negotiable.</w:t>
      </w:r>
      <w:r>
        <w:br/>
      </w:r>
      <w:r>
        <w:t xml:space="preserve">International contracts are often unenforceable if they do not account for local procedural nuances. A</w:t>
      </w:r>
      <w:r>
        <w:t xml:space="preserve"> </w:t>
      </w:r>
      <w:r>
        <w:rPr>
          <w:bCs/>
          <w:b/>
        </w:rPr>
        <w:t xml:space="preserve">Lawyer</w:t>
      </w:r>
      <w:r>
        <w:t xml:space="preserve"> </w:t>
      </w:r>
      <w:r>
        <w:t xml:space="preserve">based in the specific jurisdiction, such as Casablanca, understands the unwritten rules and bureaucratic pacing that define legal outcomes in that region.</w:t>
      </w:r>
    </w:p>
    <w:p>
      <w:pPr>
        <w:pStyle w:val="BodyText"/>
      </w:pPr>
      <w:r>
        <w:rPr>
          <w:bCs/>
          <w:b/>
        </w:rPr>
        <w:t xml:space="preserve">Critical Insight 2: The Importance of Language.</w:t>
      </w:r>
      <w:r>
        <w:br/>
      </w:r>
      <w:r>
        <w:t xml:space="preserve">While English is increasingly used in corporate settings, legal proceedings in Morocco are conducted primarily in Arabic or French. Misinterpretation of terms due to language barriers can lead to significant vulnerabilities. Local counsel ensures precise translation and interpretation.</w:t>
      </w:r>
    </w:p>
    <w:p>
      <w:pPr>
        <w:pStyle w:val="BodyText"/>
      </w:pPr>
      <w:r>
        <w:rPr>
          <w:bCs/>
          <w:b/>
        </w:rPr>
        <w:t xml:space="preserve">Critical Insight 3: Relationship-Based Legal Systems.</w:t>
      </w:r>
      <w:r>
        <w:br/>
      </w:r>
      <w:r>
        <w:t xml:space="preserve">In the context of</w:t>
      </w:r>
      <w:r>
        <w:t xml:space="preserve"> </w:t>
      </w:r>
      <w:r>
        <w:rPr>
          <w:bCs/>
          <w:b/>
        </w:rPr>
        <w:t xml:space="preserve">Morocco Casablanca</w:t>
      </w:r>
      <w:r>
        <w:t xml:space="preserve">, the personal standing of a lawyer within the local bar can significantly influence mediation outcomes. The ability to negotiate face-to-face with opposing counsel and judicial officers adds a layer of effectiveness that remote legal support cannot replicate.</w:t>
      </w:r>
    </w:p>
    <w:bookmarkEnd w:id="28"/>
    <w:bookmarkStart w:id="29" w:name="conclusion"/>
    <w:p>
      <w:pPr>
        <w:pStyle w:val="Heading2"/>
      </w:pPr>
      <w:r>
        <w:t xml:space="preserve">Conclusion</w:t>
      </w:r>
    </w:p>
    <w:p>
      <w:pPr>
        <w:pStyle w:val="FirstParagraph"/>
      </w:pPr>
      <w:r>
        <w:t xml:space="preserve">The successful resolution of this dispute highlights the vital role of specialized local counsel in emerging markets. For international firms looking to invest in North Africa, engaging a qualified</w:t>
      </w:r>
      <w:r>
        <w:t xml:space="preserve"> </w:t>
      </w:r>
      <w:r>
        <w:rPr>
          <w:bCs/>
          <w:b/>
        </w:rPr>
        <w:t xml:space="preserve">Lawyer</w:t>
      </w:r>
      <w:r>
        <w:t xml:space="preserve"> </w:t>
      </w:r>
      <w:r>
        <w:t xml:space="preserve">with deep roots in the Casablanca legal ecosystem is not merely an administrative step but a strategic necessity. The complexity of navigating municipal regulations, civil codes, and cultural expectations requires more than just theoretical legal knowledge; it demands practical, on-the-ground expertise. This case study serves as evidence that proactive, locally-adapted legal strategies can protect international interests and ensure sustainable business growth in</w:t>
      </w:r>
      <w:r>
        <w:t xml:space="preserve"> </w:t>
      </w:r>
      <w:r>
        <w:rPr>
          <w:bCs/>
          <w:b/>
        </w:rPr>
        <w:t xml:space="preserve">Morocco Casablanca</w:t>
      </w:r>
      <w:r>
        <w:t xml:space="preserve">.</w:t>
      </w:r>
    </w:p>
    <w:p>
      <w:pPr>
        <w:pStyle w:val="BodyText"/>
      </w:pPr>
      <w:r>
        <w:t xml:space="preserve">This document is for informational purposes only and does not constitute legal advice.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in Morocco Casablanca</dc:title>
  <dc:creator/>
  <dc:language>en</dc:language>
  <cp:keywords/>
  <dcterms:created xsi:type="dcterms:W3CDTF">2026-07-29T05:02:39Z</dcterms:created>
  <dcterms:modified xsi:type="dcterms:W3CDTF">2026-07-29T05:02:39Z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