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5080bfbd6662e8f26f4583925849ccde034a78d"/>
    <w:p>
      <w:pPr>
        <w:pStyle w:val="Heading1"/>
      </w:pPr>
      <w:r>
        <w:t xml:space="preserve">Case Study: Navigating Complex Commercial Litigation in Netherlands Amsterdam</w:t>
      </w:r>
    </w:p>
    <w:p>
      <w:pPr>
        <w:pStyle w:val="FirstParagraph"/>
      </w:pPr>
      <w:r>
        <w:rPr>
          <w:bCs/>
          <w:b/>
        </w:rPr>
        <w:t xml:space="preserve">Date:</w:t>
      </w:r>
      <w:r>
        <w:t xml:space="preserve"> </w:t>
      </w:r>
      <w:r>
        <w:t xml:space="preserve">October 24, 2023</w:t>
      </w:r>
      <w:r>
        <w:br/>
      </w:r>
      <w:r>
        <w:rPr>
          <w:bCs/>
          <w:b/>
        </w:rPr>
        <w:t xml:space="preserve">Firm:</w:t>
      </w:r>
      <w:r>
        <w:t xml:space="preserve"> </w:t>
      </w:r>
      <w:r>
        <w:t xml:space="preserve">Van der Berg &amp; Associates Legal Counsel</w:t>
      </w:r>
      <w:r>
        <w:br/>
      </w:r>
      <w:r>
        <w:rPr>
          <w:bCs/>
          <w:b/>
        </w:rPr>
        <w:t xml:space="preserve">Location:</w:t>
      </w:r>
      <w:r>
        <w:t xml:space="preserve">The Hague District Court &amp; Amsterdam Court of Appeal</w:t>
      </w:r>
    </w:p>
    <w:bookmarkEnd w:id="20"/>
    <w:bookmarkStart w:id="21" w:name="executive-summary"/>
    <w:p>
      <w:pPr>
        <w:pStyle w:val="Heading2"/>
      </w:pPr>
      <w:r>
        <w:t xml:space="preserve">1. Executive Summary</w:t>
      </w:r>
    </w:p>
    <w:p>
      <w:pPr>
        <w:pStyle w:val="FirstParagraph"/>
      </w:pPr>
      <w:r>
        <w:t xml:space="preserve">This case study examines a high-stakes commercial dispute involving an international technology firm and a local Dutch logistics provider. The primary objective was to demonstrate the efficacy of specialized legal representation in the Netherlands Amsterdam jurisdiction. The case highlights the critical role of a dedicated Lawyer in navigating the nuanced civil code and procedural laws specific to this region. By leveraging deep local knowledge, our legal team secured a favorable settlement that protected our client’s intellectual property rights while maintaining business continuity.</w:t>
      </w:r>
    </w:p>
    <w:bookmarkEnd w:id="21"/>
    <w:bookmarkStart w:id="22" w:name="background-of-the-dispute"/>
    <w:p>
      <w:pPr>
        <w:pStyle w:val="Heading2"/>
      </w:pPr>
      <w:r>
        <w:t xml:space="preserve">2. Background of the Dispute</w:t>
      </w:r>
    </w:p>
    <w:p>
      <w:pPr>
        <w:pStyle w:val="FirstParagraph"/>
      </w:pPr>
      <w:r>
        <w:t xml:space="preserve">In early 2021, TechGlobal Inc., a multinational corporation headquartered in Silicon Valley, entered into a strategic partnership with LogiNed BV, a mid-sized logistics company based in the vibrant business hub of Netherlands Amsterdam. The agreement involved the implementation of a proprietary supply chain management software developed by TechGlobal. However, within six months of deployment, LogiNed BV began utilizing unauthorized copies of the software for third-party clients and allegedly shared source code with competitors.</w:t>
      </w:r>
    </w:p>
    <w:p>
      <w:pPr>
        <w:pStyle w:val="BodyText"/>
      </w:pPr>
      <w:r>
        <w:t xml:space="preserve">The situation escalated when internal audits revealed significant data leakage. TechGlobal faced substantial financial loss and reputational risk. Given that the contract specified jurisdiction in Amsterdam, it was imperative to engage a Lawyer who possessed extensive experience with Dutch commercial law, particularly within the Netherlands Amsterdam courts.</w:t>
      </w:r>
    </w:p>
    <w:bookmarkEnd w:id="22"/>
    <w:bookmarkStart w:id="23" w:name="the-legal-challenge"/>
    <w:p>
      <w:pPr>
        <w:pStyle w:val="Heading2"/>
      </w:pPr>
      <w:r>
        <w:t xml:space="preserve">3. The Legal Challenge</w:t>
      </w:r>
    </w:p>
    <w:p>
      <w:pPr>
        <w:pStyle w:val="FirstParagraph"/>
      </w:pPr>
      <w:r>
        <w:t xml:space="preserve">The complexity of this Case Study arises from several factors unique to the Dutch legal landscape:</w:t>
      </w:r>
    </w:p>
    <w:p>
      <w:pPr>
        <w:numPr>
          <w:ilvl w:val="0"/>
          <w:numId w:val="1001"/>
        </w:numPr>
        <w:pStyle w:val="Compact"/>
      </w:pPr>
      <w:r>
        <w:rPr>
          <w:bCs/>
          <w:b/>
        </w:rPr>
        <w:t xml:space="preserve">Jurisdictional Specificity:</w:t>
      </w:r>
      <w:r>
        <w:t xml:space="preserve">The Netherlands Amsterdam court system operates under specific procedural rules that differ significantly from common law systems. Understanding these nuances is vital for a Lawyer aiming to secure timely interim relief.</w:t>
      </w:r>
    </w:p>
    <w:p>
      <w:pPr>
        <w:numPr>
          <w:ilvl w:val="0"/>
          <w:numId w:val="1001"/>
        </w:numPr>
        <w:pStyle w:val="Compact"/>
      </w:pPr>
      <w:r>
        <w:rPr>
          <w:bCs/>
          <w:b/>
        </w:rPr>
        <w:t xml:space="preserve">Cross-Border Elements:</w:t>
      </w:r>
      <w:r>
        <w:t xml:space="preserve">While the defendant was local, the plaintiff was international. Bridging communication gaps and aligning legal strategies across borders required meticulous coordination.</w:t>
      </w:r>
    </w:p>
    <w:p>
      <w:pPr>
        <w:numPr>
          <w:ilvl w:val="0"/>
          <w:numId w:val="1001"/>
        </w:numPr>
        <w:pStyle w:val="Compact"/>
      </w:pPr>
      <w:r>
        <w:rPr>
          <w:bCs/>
          <w:b/>
        </w:rPr>
        <w:t xml:space="preserve">Evidentiary Standards:</w:t>
      </w:r>
      <w:r>
        <w:t xml:space="preserve">Dutch law places heavy emphasis on written evidence. The Lawyer had to ensure that all digital forensics and contract interpretations were presented in a format compliant with local standards.</w:t>
      </w:r>
    </w:p>
    <w:bookmarkEnd w:id="23"/>
    <w:bookmarkStart w:id="24" w:name="strategic-approach"/>
    <w:p>
      <w:pPr>
        <w:pStyle w:val="Heading2"/>
      </w:pPr>
      <w:r>
        <w:t xml:space="preserve">4. Strategic Approach</w:t>
      </w:r>
    </w:p>
    <w:p>
      <w:pPr>
        <w:pStyle w:val="FirstParagraph"/>
      </w:pPr>
      <w:r>
        <w:rPr>
          <w:bCs/>
          <w:b/>
        </w:rPr>
        <w:t xml:space="preserve">A. Immediate Interim Measures (Kort Geding):</w:t>
      </w:r>
      <w:r>
        <w:br/>
      </w:r>
      <w:r>
        <w:t xml:space="preserve">In the Netherlands Amsterdam legal framework, interim proceedings are often faster than main proceedings. Our Lawyer filed an urgent request for a provisional injunction to halt the use of the software immediately. This strategy was crucial to prevent further data erosion.</w:t>
      </w:r>
    </w:p>
    <w:p>
      <w:pPr>
        <w:pStyle w:val="BodyText"/>
      </w:pPr>
      <w:r>
        <w:rPr>
          <w:bCs/>
          <w:b/>
        </w:rPr>
        <w:t xml:space="preserve">B. Localization of Legal Arguments:</w:t>
      </w:r>
      <w:r>
        <w:br/>
      </w:r>
      <w:r>
        <w:t xml:space="preserve">While general international contract principles applied, our Lawyer tailored arguments specifically to Article 6:162 of the Dutch Civil Code regarding tortious acts. This localized approach resonated strongly with the judges in Netherlands Amsterdam, who appreciate lawyers fluent in both legal terminology and cultural context.</w:t>
      </w:r>
    </w:p>
    <w:p>
      <w:pPr>
        <w:pStyle w:val="BodyText"/>
      </w:pPr>
      <w:r>
        <w:rPr>
          <w:bCs/>
          <w:b/>
        </w:rPr>
        <w:t xml:space="preserve">C. Negotiation Tactics:</w:t>
      </w:r>
      <w:r>
        <w:br/>
      </w:r>
      <w:r>
        <w:t xml:space="preserve">Parallel to litigation, our Lawyer initiated settlement talks. By demonstrating a clear understanding of the likely judicial outcome in Netherlands Amsterdam courts, we positioned our client as a formidable opponent while offering LogiNed BV an exit strategy that allowed them to preserve some business relationships.</w:t>
      </w:r>
    </w:p>
    <w:bookmarkEnd w:id="24"/>
    <w:bookmarkStart w:id="25" w:name="the-role-of-the-lawyer"/>
    <w:p>
      <w:pPr>
        <w:pStyle w:val="Heading2"/>
      </w:pPr>
      <w:r>
        <w:t xml:space="preserve">5. The Role of the Lawyer</w:t>
      </w:r>
    </w:p>
    <w:p>
      <w:pPr>
        <w:pStyle w:val="FirstParagraph"/>
      </w:pPr>
      <w:r>
        <w:t xml:space="preserve">The central figure in this Case Study was the assigned Lawyer, who acted as the primary liaison between TechGlobal and Dutch authorities. The Lawyer’s responsibilities included:</w:t>
      </w:r>
    </w:p>
    <w:p>
      <w:pPr>
        <w:numPr>
          <w:ilvl w:val="0"/>
          <w:numId w:val="1002"/>
        </w:numPr>
        <w:pStyle w:val="Compact"/>
      </w:pPr>
      <w:r>
        <w:rPr>
          <w:bCs/>
          <w:b/>
        </w:rPr>
        <w:t xml:space="preserve">Court Representation:</w:t>
      </w:r>
      <w:r>
        <w:t xml:space="preserve">Presenting oral arguments before the President of the District Court in Netherlands Amsterdam. The ability to speak Dutch, while not always mandatory for foreign parties, proved advantageous in building rapport with local judicial officers.</w:t>
      </w:r>
    </w:p>
    <w:p>
      <w:pPr>
        <w:numPr>
          <w:ilvl w:val="0"/>
          <w:numId w:val="1002"/>
        </w:numPr>
        <w:pStyle w:val="Compact"/>
      </w:pPr>
      <w:r>
        <w:rPr>
          <w:bCs/>
          <w:b/>
        </w:rPr>
        <w:t xml:space="preserve">Document Management:</w:t>
      </w:r>
      <w:r>
        <w:t xml:space="preserve">Navigating the e-justice portal specific to Netherlands Amsterdam submissions. The Lawyer ensured that all filings met strict digital formatting requirements.</w:t>
      </w:r>
    </w:p>
    <w:p>
      <w:pPr>
        <w:numPr>
          <w:ilvl w:val="0"/>
          <w:numId w:val="1002"/>
        </w:numPr>
        <w:pStyle w:val="Compact"/>
      </w:pPr>
      <w:r>
        <w:rPr>
          <w:bCs/>
          <w:b/>
        </w:rPr>
        <w:t xml:space="preserve">Risk Assessment:</w:t>
      </w:r>
      <w:r>
        <w:t xml:space="preserve">Providing continuous updates on the likelihood of success based on recent precedents set by courts in Netherlands Amsterdam.</w:t>
      </w:r>
    </w:p>
    <w:p>
      <w:pPr>
        <w:pStyle w:val="FirstParagraph"/>
      </w:pPr>
      <w:r>
        <w:t xml:space="preserve">The Lawyer’s proactive stance transformed a potentially years-long battle into a streamlined process. By anticipating counter-arguments rooted in Dutch contract law, the Lawyer minimized delays and kept the momentum in favor of our client.</w:t>
      </w:r>
    </w:p>
    <w:bookmarkEnd w:id="25"/>
    <w:bookmarkStart w:id="26" w:name="outcome-and-results"/>
    <w:p>
      <w:pPr>
        <w:pStyle w:val="Heading2"/>
      </w:pPr>
      <w:r>
        <w:t xml:space="preserve">6. Outcome and Results</w:t>
      </w:r>
    </w:p>
    <w:p>
      <w:pPr>
        <w:pStyle w:val="FirstParagraph"/>
      </w:pPr>
      <w:r>
        <w:t xml:space="preserve">In March 2023, a settlement was reached. The key outcomes included:</w:t>
      </w:r>
    </w:p>
    <w:p>
      <w:pPr>
        <w:numPr>
          <w:ilvl w:val="0"/>
          <w:numId w:val="1003"/>
        </w:numPr>
        <w:pStyle w:val="Compact"/>
      </w:pPr>
      <w:r>
        <w:rPr>
          <w:bCs/>
          <w:b/>
        </w:rPr>
        <w:t xml:space="preserve">Injunction Granted:</w:t>
      </w:r>
      <w:r>
        <w:t xml:space="preserve">The court issued an immediate stop-order against the use of the proprietary code.</w:t>
      </w:r>
    </w:p>
    <w:p>
      <w:pPr>
        <w:numPr>
          <w:ilvl w:val="0"/>
          <w:numId w:val="1003"/>
        </w:numPr>
        <w:pStyle w:val="Compact"/>
      </w:pPr>
      <w:r>
        <w:rPr>
          <w:bCs/>
          <w:b/>
        </w:rPr>
        <w:t xml:space="preserve">Damages Awarded:</w:t>
      </w:r>
      <w:r>
        <w:t xml:space="preserve">A significant compensation package was agreed upon, covering lost revenue and legal fees.</w:t>
      </w:r>
    </w:p>
    <w:p>
      <w:pPr>
        <w:numPr>
          <w:ilvl w:val="0"/>
          <w:numId w:val="1003"/>
        </w:numPr>
        <w:pStyle w:val="Compact"/>
      </w:pPr>
      <w:r>
        <w:rPr>
          <w:bCs/>
          <w:b/>
        </w:rPr>
        <w:t xml:space="preserve">Cease and Desist:</w:t>
      </w:r>
      <w:r>
        <w:t xml:space="preserve">LogiNed BV signed a binding agreement to cease all unauthorized usage globally.</w:t>
      </w:r>
    </w:p>
    <w:p>
      <w:pPr>
        <w:pStyle w:val="FirstParagraph"/>
      </w:pPr>
      <w:r>
        <w:t xml:space="preserve">This outcome underscores the importance of selecting a Lawyer with specialized expertise in Netherlands Amsterdam. The resolution was not only legally sound but also commercially viable, allowing TechGlobal to reintegrate their logistics operations without further disruption.</w:t>
      </w:r>
    </w:p>
    <w:bookmarkEnd w:id="26"/>
    <w:bookmarkStart w:id="27" w:name="lessons-learned-and-recommendations"/>
    <w:p>
      <w:pPr>
        <w:pStyle w:val="Heading2"/>
      </w:pPr>
      <w:r>
        <w:t xml:space="preserve">7. Lessons Learned and Recommendations</w:t>
      </w:r>
    </w:p>
    <w:p>
      <w:pPr>
        <w:pStyle w:val="FirstParagraph"/>
      </w:pPr>
      <w:r>
        <w:t xml:space="preserve">This Case Study offers several critical takeaways for multinational corporations operating in the Netherlands Amsterdam region:</w:t>
      </w:r>
    </w:p>
    <w:p>
      <w:pPr>
        <w:pStyle w:val="BodyText"/>
      </w:pPr>
      <w:r>
        <w:rPr>
          <w:bCs/>
          <w:b/>
        </w:rPr>
        <w:t xml:space="preserve">1. Local Expertise is Non-Negotiable:</w:t>
      </w:r>
      <w:r>
        <w:br/>
      </w:r>
      <w:r>
        <w:t xml:space="preserve">A generic international Lawyer may lack the specific procedural knowledge required by courts in Netherlands Amsterdam. Engaging counsel familiar with local nuances can save time and resources.</w:t>
      </w:r>
    </w:p>
    <w:p>
      <w:pPr>
        <w:pStyle w:val="BodyText"/>
      </w:pPr>
      <w:r>
        <w:rPr>
          <w:bCs/>
          <w:b/>
        </w:rPr>
        <w:t xml:space="preserve">2. Speed Matters in Interim Relief:</w:t>
      </w:r>
      <w:r>
        <w:br/>
      </w:r>
      <w:r>
        <w:t xml:space="preserve">In cases involving intellectual property, delay can be fatal. The ability of a Lawyer to navigate the fast-track interim proceedings available in Netherlands Amsterdam is paramount.</w:t>
      </w:r>
    </w:p>
    <w:p>
      <w:pPr>
        <w:pStyle w:val="BodyText"/>
      </w:pPr>
      <w:r>
        <w:rPr>
          <w:bCs/>
          <w:b/>
        </w:rPr>
        <w:t xml:space="preserve">3. Cultural Competence:</w:t>
      </w:r>
      <w:r>
        <w:br/>
      </w:r>
      <w:r>
        <w:t xml:space="preserve">The Dutch legal culture values directness and pragmatism. A Lawyer who embodies these traits while maintaining professional diplomacy will find greater success in negotiations and hearings.</w:t>
      </w:r>
    </w:p>
    <w:bookmarkEnd w:id="27"/>
    <w:bookmarkStart w:id="28" w:name="conclusion"/>
    <w:p>
      <w:pPr>
        <w:pStyle w:val="Heading2"/>
      </w:pPr>
      <w:r>
        <w:t xml:space="preserve">8. Conclusion</w:t>
      </w:r>
    </w:p>
    <w:p>
      <w:pPr>
        <w:pStyle w:val="FirstParagraph"/>
      </w:pPr>
      <w:r>
        <w:t xml:space="preserve">The dispute between TechGlobal Inc. and LogiNed BV serves as a quintessential example of modern commercial litigation in the Netherlands Amsterdam. It demonstrates that while international law provides a framework, the success of any Case Study ultimately depends on the execution by skilled legal professionals on the ground.</w:t>
      </w:r>
    </w:p>
    <w:p>
      <w:pPr>
        <w:pStyle w:val="BodyText"/>
      </w:pPr>
      <w:r>
        <w:t xml:space="preserve">For businesses looking to protect their interests in this dynamic region, hiring a Lawyer with deep roots in Netherlands Amsterdam is not merely an option—it is a strategic necessity. The combination of technical legal knowledge, procedural agility, and cultural insight provided by local counsel was the deciding factor in achieving a favorable resolution.</w:t>
      </w:r>
    </w:p>
    <w:bookmarkEnd w:id="28"/>
    <w:p>
      <w:pPr>
        <w:pStyle w:val="BodyText"/>
      </w:pPr>
      <w:r>
        <w:t xml:space="preserve">© 2023 Van der Berg &amp; Associates Legal Counsel. All Rights Reserved.</w:t>
      </w:r>
    </w:p>
    <w:p>
      <w:pPr>
        <w:pStyle w:val="BodyText"/>
      </w:pPr>
      <w:r>
        <w:t xml:space="preserve">This document is confidential and intended for internal review purposes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Netherlands Amsterdam</dc:title>
  <dc:creator/>
  <dc:language>en</dc:language>
  <cp:keywords/>
  <dcterms:created xsi:type="dcterms:W3CDTF">2026-07-29T13:35:18Z</dcterms:created>
  <dcterms:modified xsi:type="dcterms:W3CDTF">2026-07-29T13:35:18Z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