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eb5edbae6ec97ad01f1a528a27cb496888fb9ce"/>
    <w:p>
      <w:pPr>
        <w:pStyle w:val="Heading1"/>
      </w:pPr>
      <w:r>
        <w:t xml:space="preserve">Case Study: Navigating Complex Property Disputes in New Zealand Auckland</w:t>
      </w:r>
    </w:p>
    <w:p>
      <w:pPr>
        <w:pStyle w:val="FirstParagraph"/>
      </w:pPr>
      <w:r>
        <w:rPr>
          <w:bCs/>
          <w:b/>
        </w:rPr>
        <w:t xml:space="preserve">Date:</w:t>
      </w:r>
      <w:r>
        <w:t xml:space="preserve">October 24, 2023</w:t>
      </w:r>
      <w:r>
        <w:br/>
      </w:r>
    </w:p>
    <w:p>
      <w:pPr>
        <w:pStyle w:val="BodyText"/>
      </w:pPr>
      <w:r>
        <w:t xml:space="preserve">New Zealand Auckland</w:t>
      </w:r>
      <w:r>
        <w:br/>
      </w:r>
      <w:r>
        <w:t xml:space="preserve">Subject: Commercial Litigation and Family Trust Law</w:t>
      </w:r>
    </w:p>
    <w:bookmarkStart w:id="20" w:name="introduction"/>
    <w:p>
      <w:pPr>
        <w:pStyle w:val="Heading2"/>
      </w:pPr>
      <w:r>
        <w:t xml:space="preserve">Introduction</w:t>
      </w:r>
    </w:p>
    <w:p>
      <w:pPr>
        <w:pStyle w:val="FirstParagraph"/>
      </w:pPr>
      <w:r>
        <w:t xml:space="preserve">In the vibrant and rapidly evolving legal landscape of</w:t>
      </w:r>
      <w:r>
        <w:t xml:space="preserve"> </w:t>
      </w:r>
      <w:r>
        <w:rPr>
          <w:bCs/>
          <w:b/>
        </w:rPr>
        <w:t xml:space="preserve">New Zealand Auckland</w:t>
      </w:r>
      <w:r>
        <w:t xml:space="preserve">, the demand for specialized, compassionate, and highly effective legal counsel is at an all-time high. This case study examines a complex intersection of commercial property law, family trust disputes, and heritage conservation issues. The primary subject of this analysis is the role of a dedicated</w:t>
      </w:r>
      <w:r>
        <w:t xml:space="preserve"> </w:t>
      </w:r>
      <w:r>
        <w:rPr>
          <w:bCs/>
          <w:b/>
        </w:rPr>
        <w:t xml:space="preserve">Lawyer</w:t>
      </w:r>
      <w:r>
        <w:t xml:space="preserve"> </w:t>
      </w:r>
      <w:r>
        <w:t xml:space="preserve">who successfully represented clients in one of the most contentious private property disputes in the Auckland District Court in recent years. By focusing on the specific challenges present in</w:t>
      </w:r>
      <w:r>
        <w:t xml:space="preserve"> </w:t>
      </w:r>
      <w:r>
        <w:rPr>
          <w:bCs/>
          <w:b/>
        </w:rPr>
        <w:t xml:space="preserve">New Zealand Auckland</w:t>
      </w:r>
      <w:r>
        <w:t xml:space="preserve">, such as strict urban density regulations and complex inheritance laws, this document highlights how professional legal intervention can secure favorable outcomes amidst significant adversity.</w:t>
      </w:r>
    </w:p>
    <w:bookmarkEnd w:id="20"/>
    <w:bookmarkStart w:id="21" w:name="background-of-the-dispute"/>
    <w:p>
      <w:pPr>
        <w:pStyle w:val="Heading2"/>
      </w:pPr>
      <w:r>
        <w:t xml:space="preserve">Background of the Dispute</w:t>
      </w:r>
    </w:p>
    <w:p>
      <w:pPr>
        <w:pStyle w:val="FirstParagraph"/>
      </w:pPr>
      <w:r>
        <w:t xml:space="preserve">The client, a multi-generational family trust based in</w:t>
      </w:r>
      <w:r>
        <w:t xml:space="preserve"> </w:t>
      </w:r>
      <w:r>
        <w:rPr>
          <w:bCs/>
          <w:b/>
        </w:rPr>
        <w:t xml:space="preserve">New Zealand Auckland</w:t>
      </w:r>
      <w:r>
        <w:t xml:space="preserve">, owned a historic Victorian-era terrace house located in the prestigious Ponsonby suburb. This property was not only a financial asset but also held significant sentimental value, having been passed down through four generations. However, following the passing of the patriarch, disagreements arose among beneficiaries regarding the future of the property. One faction wished to demolish and rebuild a multi-unit residential complex to maximize capital gain in response to Auckland’s booming real estate market. The opposing faction argued that due to heritage restrictions and personal attachment, they wished retain and renovate the structure without demolition.</w:t>
      </w:r>
    </w:p>
    <w:p>
      <w:pPr>
        <w:pStyle w:val="BodyText"/>
      </w:pPr>
      <w:r>
        <w:t xml:space="preserve">Complicating matters further was a third party, a neighboring developer who had acquired rights of way issues with the property, claiming partial ownership based on an obscure historical easement dating back to the early 1900s. This situation created a perfect storm of familial discord and external legal pressure, requiring immediate intervention from an experienced</w:t>
      </w:r>
      <w:r>
        <w:t xml:space="preserve"> </w:t>
      </w:r>
      <w:r>
        <w:rPr>
          <w:bCs/>
          <w:b/>
        </w:rPr>
        <w:t xml:space="preserve">Lawyer</w:t>
      </w:r>
      <w:r>
        <w:t xml:space="preserve"> </w:t>
      </w:r>
      <w:r>
        <w:t xml:space="preserve">specializing in both litigation and trust law.</w:t>
      </w:r>
    </w:p>
    <w:bookmarkEnd w:id="21"/>
    <w:bookmarkStart w:id="25" w:name="the-role-of-the-lawyer"/>
    <w:p>
      <w:pPr>
        <w:pStyle w:val="Heading2"/>
      </w:pPr>
      <w:r>
        <w:t xml:space="preserve">The Role of the Lawyer</w:t>
      </w:r>
    </w:p>
    <w:p>
      <w:pPr>
        <w:pStyle w:val="FirstParagraph"/>
      </w:pPr>
      <w:r>
        <w:t xml:space="preserve">The appointed</w:t>
      </w:r>
      <w:r>
        <w:t xml:space="preserve"> </w:t>
      </w:r>
      <w:r>
        <w:rPr>
          <w:bCs/>
          <w:b/>
        </w:rPr>
        <w:t xml:space="preserve">Lawyer, practicing within the heart of Auckland CBD, recognized that this case required more than just standard legal argumentation. It demanded a strategic understanding of local zoning laws under the Unitary Plan, sensitivity to family dynamics, and a robust approach to negotiation with third-party developers.</w:t>
      </w:r>
    </w:p>
    <w:bookmarkStart w:id="22" w:name="strategic-assessment-and-legal-analysis"/>
    <w:p>
      <w:pPr>
        <w:pStyle w:val="Heading3"/>
      </w:pPr>
      <w:r>
        <w:t xml:space="preserve">1. Strategic Assessment and Legal Analysis</w:t>
      </w:r>
    </w:p>
    <w:p>
      <w:pPr>
        <w:pStyle w:val="FirstParagraph"/>
      </w:pPr>
      <w:r>
        <w:t xml:space="preserve">Upon engagement, the</w:t>
      </w:r>
      <w:r>
        <w:t xml:space="preserve"> </w:t>
      </w:r>
      <w:r>
        <w:rPr>
          <w:bCs/>
          <w:b/>
        </w:rPr>
        <w:t xml:space="preserve">Lawyer</w:t>
      </w:r>
      <w:r>
        <w:t xml:space="preserve">New Zealand AucklandLawyer strengthened the trust’s negotiating position significantly.</w:t>
      </w:r>
    </w:p>
    <w:bookmarkEnd w:id="22"/>
    <w:bookmarkStart w:id="23" w:name="Xd94c4466bfc6d7e21fe031c53aa303032300c93"/>
    <w:p>
      <w:pPr>
        <w:pStyle w:val="Heading3"/>
      </w:pPr>
      <w:r>
        <w:t xml:space="preserve">2. Mediation and Alternative Dispute Resolution</w:t>
      </w:r>
    </w:p>
    <w:p>
      <w:pPr>
        <w:pStyle w:val="FirstParagraph"/>
      </w:pPr>
      <w:r>
        <w:t xml:space="preserve">Recognizing that prolonged litigation would drain resources and further fracture family relationships, the</w:t>
      </w:r>
      <w:r>
        <w:t xml:space="preserve"> </w:t>
      </w:r>
      <w:r>
        <w:rPr>
          <w:bCs/>
          <w:b/>
        </w:rPr>
        <w:t xml:space="preserve">LawyerNew Zealand Auckland</w:t>
      </w:r>
    </w:p>
    <w:p>
      <w:pPr>
        <w:pStyle w:val="BodyText"/>
      </w:pPr>
      <w:r>
        <w:t xml:space="preserve">The strategy was twofold: internally, the lawyer addressed the emotional concerns of the family members who wished to preserve heritage, validating their feelings while educating them on financial realities. Externally, the lawyer used forensic evidence regarding easement boundaries to pressure the developer into withdrawing their frivolous claims. This dual approach demonstrated why hiring a specialized</w:t>
      </w:r>
      <w:r>
        <w:t xml:space="preserve"> </w:t>
      </w:r>
      <w:r>
        <w:rPr>
          <w:bCs/>
          <w:b/>
        </w:rPr>
        <w:t xml:space="preserve">Lawyer</w:t>
      </w:r>
      <w:r>
        <w:t xml:space="preserve"> </w:t>
      </w:r>
      <w:r>
        <w:t xml:space="preserve">is essential in</w:t>
      </w:r>
    </w:p>
    <w:p>
      <w:pPr>
        <w:pStyle w:val="BodyText"/>
      </w:pPr>
      <w:r>
        <w:t xml:space="preserve">New Zealand Auckland, where cultural nuances and legal technicalities intersect frequently.</w:t>
      </w:r>
    </w:p>
    <w:bookmarkEnd w:id="23"/>
    <w:bookmarkStart w:id="24" w:name="navigating-regulatory-hurdles"/>
    <w:p>
      <w:pPr>
        <w:pStyle w:val="Heading3"/>
      </w:pPr>
      <w:r>
        <w:t xml:space="preserve">3. Navigating Regulatory Hurdles</w:t>
      </w:r>
    </w:p>
    <w:p>
      <w:pPr>
        <w:pStyle w:val="FirstParagraph"/>
      </w:pPr>
      <w:r>
        <w:t xml:space="preserve">Even though the family agreed to renovate rather than demolish, they faced significant hurdles with the Auckland Council regarding heritage consent. The appointed</w:t>
      </w:r>
      <w:r>
        <w:t xml:space="preserve"> </w:t>
      </w:r>
      <w:r>
        <w:rPr>
          <w:bCs/>
          <w:b/>
        </w:rPr>
        <w:t xml:space="preserve">Lawyer</w:t>
      </w:r>
      <w:r>
        <w:t xml:space="preserve"> </w:t>
      </w:r>
      <w:r>
        <w:t xml:space="preserve">collaborated closely with urban planners and heritage consultants to ensure that all applications met the strict criteria of the Heritage Category 1 listing. This interdisciplinary collaboration is a hallmark of effective legal practice in major centers like</w:t>
      </w:r>
    </w:p>
    <w:p>
      <w:pPr>
        <w:pStyle w:val="BodyText"/>
      </w:pPr>
      <w:r>
        <w:t xml:space="preserve">New Zealand Auckland, where regulatory compliance is stringent.</w:t>
      </w:r>
    </w:p>
    <w:bookmarkEnd w:id="24"/>
    <w:bookmarkEnd w:id="25"/>
    <w:bookmarkStart w:id="26" w:name="challenges-faced"/>
    <w:p>
      <w:pPr>
        <w:pStyle w:val="Heading2"/>
      </w:pPr>
      <w:r>
        <w:t xml:space="preserve">Challenges Faced</w:t>
      </w:r>
    </w:p>
    <w:p>
      <w:pPr>
        <w:pStyle w:val="FirstParagraph"/>
      </w:pPr>
      <w:r>
        <w:t xml:space="preserve">The case presented several unique challenges characteristic of high-stakes property law in metropolitan areas:</w:t>
      </w:r>
    </w:p>
    <w:p>
      <w:pPr>
        <w:numPr>
          <w:ilvl w:val="0"/>
          <w:numId w:val="1001"/>
        </w:numPr>
        <w:pStyle w:val="Compact"/>
      </w:pPr>
      <w:r>
        <w:t xml:space="preserve">Familial Discord:The emotional toll on the family was severe, with communication breakdowns threatening to derail legal proceedings. Managing client expectations and providing psychological support alongside legal advice was critical.</w:t>
      </w:r>
    </w:p>
    <w:p>
      <w:pPr>
        <w:numPr>
          <w:ilvl w:val="0"/>
          <w:numId w:val="1001"/>
        </w:numPr>
        <w:pStyle w:val="Compact"/>
      </w:pPr>
      <w:r>
        <w:rPr>
          <w:bCs/>
          <w:b/>
        </w:rPr>
        <w:t xml:space="preserve">Time Sensitivity:The neighboring developer attempted to rush proceedings, leveraging Auckland’s fast-paced business environment against the trust. The</w:t>
      </w:r>
      <w:r>
        <w:rPr>
          <w:bCs/>
          <w:b/>
        </w:rPr>
        <w:t xml:space="preserve"> </w:t>
      </w:r>
      <w:r>
        <w:rPr>
          <w:bCs/>
          <w:b/>
          <w:bCs/>
          <w:b/>
        </w:rPr>
        <w:t xml:space="preserve">Lawyer</w:t>
      </w:r>
    </w:p>
    <w:p>
      <w:pPr>
        <w:numPr>
          <w:ilvl w:val="0"/>
          <w:numId w:val="1001"/>
        </w:numPr>
        <w:pStyle w:val="Compact"/>
      </w:pPr>
      <w:r>
        <w:t xml:space="preserve">Regulatory Complexity:Navigating the Auckland Unitary Plan required deep local knowledge. Missteps in zoning interpretation could have resulted in millions of dollars in lost value or forced demolition against the family’s wishes.</w:t>
      </w:r>
    </w:p>
    <w:bookmarkEnd w:id="26"/>
    <w:bookmarkStart w:id="27" w:name="the-resolution"/>
    <w:p>
      <w:pPr>
        <w:pStyle w:val="Heading2"/>
      </w:pPr>
      <w:r>
        <w:t xml:space="preserve">The Resolution</w:t>
      </w:r>
    </w:p>
    <w:p>
      <w:pPr>
        <w:pStyle w:val="FirstParagraph"/>
      </w:pPr>
      <w:r>
        <w:t xml:space="preserve">Through persistent advocacy and strategic negotiation, the</w:t>
      </w:r>
      <w:r>
        <w:t xml:space="preserve"> </w:t>
      </w:r>
      <w:r>
        <w:rPr>
          <w:bCs/>
          <w:b/>
        </w:rPr>
        <w:t xml:space="preserve">Lawyer achieved a comprehensive resolution: 1. **Withdrawal of Neighbor’s Claim**: The neighboring developer dropped their claim regarding partial ownership after being presented with irrefutable historical survey data prepared by the legal team. 2. **Family Agreement on Renovation**: The beneficiaries reached a consensus to fully restore the heritage facade while updating the interior for modern living standards, preserving both sentiment and structural integrity. 3. **Financial Settlement**: A portion of the budget was allocated to establish a small community garden in front of the terrace, satisfying community relations and enhancing property value without compromising heritage status.</w:t>
      </w:r>
    </w:p>
    <w:p>
      <w:pPr>
        <w:pStyle w:val="BodyText"/>
      </w:pPr>
      <w:r>
        <w:t xml:space="preserve">The final outcome not only protected the physical asset but also restored harmony within the family trust, illustrating that effective legal representation does more than just win cases—it preserves legacies.</w:t>
      </w:r>
    </w:p>
    <w:bookmarkEnd w:id="27"/>
    <w:bookmarkStart w:id="28" w:name="X0d0df369ed9cd6a6fec9875208a8d40775512a2"/>
    <w:p>
      <w:pPr>
        <w:pStyle w:val="Heading2"/>
      </w:pPr>
      <w:r>
        <w:t xml:space="preserve">Key Takeaways for Clients in New Zealand Auckland</w:t>
      </w:r>
    </w:p>
    <w:p>
      <w:pPr>
        <w:pStyle w:val="FirstParagraph"/>
      </w:pPr>
      <w:r>
        <w:t xml:space="preserve">This case study underscores several critical lessons for individuals and trusts operating within</w:t>
      </w:r>
      <w:r>
        <w:t xml:space="preserve"> </w:t>
      </w:r>
      <w:r>
        <w:rPr>
          <w:bCs/>
          <w:b/>
        </w:rPr>
        <w:t xml:space="preserve">New Zealand Auckland:</w:t>
      </w:r>
    </w:p>
    <w:p>
      <w:pPr>
        <w:numPr>
          <w:ilvl w:val="0"/>
          <w:numId w:val="1002"/>
        </w:numPr>
        <w:pStyle w:val="Compact"/>
      </w:pPr>
      <w:r>
        <w:t xml:space="preserve">Select Specialized Expertise: General practice may suffice for routine matters, but complex property disputes require a</w:t>
      </w:r>
    </w:p>
    <w:p>
      <w:pPr>
        <w:numPr>
          <w:ilvl w:val="0"/>
          <w:numId w:val="1000"/>
        </w:numPr>
        <w:pStyle w:val="Compact"/>
      </w:pPr>
      <w:r>
        <w:t xml:space="preserve">Lawyer with specific experience in local council regulations and heritage law.</w:t>
      </w:r>
    </w:p>
    <w:p>
      <w:pPr>
        <w:numPr>
          <w:ilvl w:val="0"/>
          <w:numId w:val="1002"/>
        </w:numPr>
        <w:pStyle w:val="Compact"/>
      </w:pPr>
      <w:r>
        <w:t xml:space="preserve">Prioritize Early Intervention: Engaging legal counsel at the first sign of dispute prevents escalation. In this case, early forensic analysis prevented costly litigation against the neighbor.</w:t>
      </w:r>
    </w:p>
    <w:p>
      <w:pPr>
        <w:numPr>
          <w:ilvl w:val="0"/>
          <w:numId w:val="1002"/>
        </w:numPr>
        <w:pStyle w:val="Compact"/>
      </w:pPr>
      <w:r>
        <w:t xml:space="preserve">Understand Local Context: Laws and cultural expectations in</w:t>
      </w:r>
    </w:p>
    <w:p>
      <w:pPr>
        <w:numPr>
          <w:ilvl w:val="0"/>
          <w:numId w:val="1000"/>
        </w:numPr>
        <w:pStyle w:val="Compact"/>
      </w:pPr>
      <w:r>
        <w:t xml:space="preserve">New Zealand Auckland are distinct. A lawyer who understands local customs, such as Treaty of Waitangi implications in land matters or specific Māori customary rights if applicable, provides an added layer of protection and insight.</w:t>
      </w:r>
    </w:p>
    <w:p>
      <w:pPr>
        <w:numPr>
          <w:ilvl w:val="0"/>
          <w:numId w:val="1002"/>
        </w:numPr>
        <w:pStyle w:val="Compact"/>
      </w:pPr>
      <w:r>
        <w:t xml:space="preserve">Embrace Mediation: In family-related property disputes, court battles often destroy relationships permanently. A skilled</w:t>
      </w:r>
    </w:p>
    <w:p>
      <w:pPr>
        <w:numPr>
          <w:ilvl w:val="0"/>
          <w:numId w:val="1000"/>
        </w:numPr>
        <w:pStyle w:val="Compact"/>
      </w:pPr>
      <w:r>
        <w:t xml:space="preserve">Lawyer will guide clients toward negotiated settlements that preserve assets and dignity.</w:t>
      </w:r>
    </w:p>
    <w:p>
      <w:pPr>
        <w:pStyle w:val="FirstParagraph"/>
      </w:pPr>
      <w:r>
        <w:t xml:space="preserve">New Zealand AucklandLawyer serves not merely as an advocate in court but as a strategist, mediator, and protector of client interests across multiple dimensions—legal, emotional, and financial. For residents and businesses in</w:t>
      </w:r>
    </w:p>
    <w:p>
      <w:pPr>
        <w:pStyle w:val="BodyText"/>
      </w:pPr>
      <w:r>
        <w:t xml:space="preserve">New Zealand Auckland, choosing the right legal partner is akin to investing in long-term security. This case study serves as a testament to how professional diligence, local expertise, and empathetic communication can resolve even the most entrenched disputes while upholding justice and preserving heritage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New Zealand Auckland</dc:title>
  <dc:creator/>
  <dc:language>en</dc:language>
  <cp:keywords/>
  <dcterms:created xsi:type="dcterms:W3CDTF">2026-07-29T17:17:56Z</dcterms:created>
  <dcterms:modified xsi:type="dcterms:W3CDTF">2026-07-29T17:17:56Z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