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Legal</w:t>
      </w:r>
      <w:r>
        <w:t xml:space="preserve"> </w:t>
      </w:r>
      <w:r>
        <w:t xml:space="preserve">Excellence</w:t>
      </w:r>
      <w:r>
        <w:t xml:space="preserve"> </w:t>
      </w:r>
      <w:r>
        <w:t xml:space="preserve">in</w:t>
      </w:r>
      <w:r>
        <w:t xml:space="preserve"> </w:t>
      </w:r>
      <w:r>
        <w:t xml:space="preserve">Nigeria</w:t>
      </w:r>
      <w:r>
        <w:t xml:space="preserve"> </w:t>
      </w:r>
      <w:r>
        <w:t xml:space="preserve">Abuja</w:t>
      </w:r>
    </w:p>
    <w:bookmarkStart w:id="29" w:name="Xda2d1c8bf739338b6963ea12eeaad9ca8a9f654"/>
    <w:p>
      <w:pPr>
        <w:pStyle w:val="Heading1"/>
      </w:pPr>
      <w:r>
        <w:t xml:space="preserve">Bridging the Gap between Corporate Ambition and Regulatory Compliance in Nigeria Abuja</w:t>
      </w:r>
    </w:p>
    <w:bookmarkStart w:id="20" w:name="executive-summary"/>
    <w:p>
      <w:pPr>
        <w:pStyle w:val="Heading2"/>
      </w:pPr>
      <w:r>
        <w:t xml:space="preserve">Executive Summary</w:t>
      </w:r>
    </w:p>
    <w:p>
      <w:pPr>
        <w:pStyle w:val="FirstParagraph"/>
      </w:pPr>
      <w:r>
        <w:t xml:space="preserve">In the rapidly evolving legal landscape of West Africa,</w:t>
      </w:r>
      <w:r>
        <w:t xml:space="preserve"> </w:t>
      </w:r>
      <w:r>
        <w:rPr>
          <w:bCs/>
          <w:b/>
        </w:rPr>
        <w:t xml:space="preserve">Nigeria Abuja</w:t>
      </w:r>
      <w:r>
        <w:br/>
      </w:r>
      <w:r>
        <w:t xml:space="preserve">has emerged as a critical hub for commercial activity, government administration, and international investment. As the capital city hosts numerous multinational corporations, government agencies,</w:t>
      </w:r>
      <w:r>
        <w:br/>
      </w:r>
      <w:r>
        <w:t xml:space="preserve">and local enterprises,</w:t>
      </w:r>
      <w:r>
        <w:br/>
      </w:r>
      <w:r>
        <w:t xml:space="preserve">the demand for sophisticated legal counsel has never been higher. This case study examines how a specialized</w:t>
      </w:r>
      <w:r>
        <w:t xml:space="preserve"> </w:t>
      </w:r>
      <w:r>
        <w:rPr>
          <w:bCs/>
          <w:b/>
        </w:rPr>
        <w:t xml:space="preserve">Lawyer</w:t>
      </w:r>
      <w:r>
        <w:br/>
      </w:r>
      <w:r>
        <w:t xml:space="preserve">firm navigated complex regulatory hurdles to facilitate a major infrastructure project in</w:t>
      </w:r>
      <w:r>
        <w:t xml:space="preserve"> </w:t>
      </w:r>
      <w:r>
        <w:rPr>
          <w:bCs/>
          <w:b/>
        </w:rPr>
        <w:t xml:space="preserve">Nigeria Abuja</w:t>
      </w:r>
      <w:r>
        <w:t xml:space="preserve">,</w:t>
      </w:r>
      <w:r>
        <w:br/>
      </w:r>
      <w:r>
        <w:t xml:space="preserve">demonstrating the indispensable role of expert legal representation in modern business operations.</w:t>
      </w:r>
    </w:p>
    <w:bookmarkEnd w:id="20"/>
    <w:bookmarkStart w:id="21" w:name="the-background-and-challenge"/>
    <w:p>
      <w:pPr>
        <w:pStyle w:val="Heading2"/>
      </w:pPr>
      <w:r>
        <w:t xml:space="preserve">The Background and Challenge</w:t>
      </w:r>
    </w:p>
    <w:p>
      <w:pPr>
        <w:pStyle w:val="FirstParagraph"/>
      </w:pPr>
      <w:r>
        <w:t xml:space="preserve">The primary client,</w:t>
      </w:r>
      <w:r>
        <w:br/>
      </w:r>
      <w:r>
        <w:t xml:space="preserve">let us refer to them as "Apex Construction Ltd,"</w:t>
      </w:r>
      <w:r>
        <w:br/>
      </w:r>
      <w:r>
        <w:t xml:space="preserve">was a consortium aiming to build a state-of-the-art commercial complex in the heart of</w:t>
      </w:r>
      <w:r>
        <w:t xml:space="preserve"> </w:t>
      </w:r>
      <w:r>
        <w:rPr>
          <w:bCs/>
          <w:b/>
        </w:rPr>
        <w:t xml:space="preserve">Nigeria Abuja</w:t>
      </w:r>
      <w:r>
        <w:t xml:space="preserve">. The project, valued at approximately $50 million,</w:t>
      </w:r>
      <w:r>
        <w:br/>
      </w:r>
      <w:r>
        <w:t xml:space="preserve">required adherence to stringent environmental regulations,</w:t>
      </w:r>
      <w:r>
        <w:br/>
      </w:r>
      <w:r>
        <w:t xml:space="preserve">land use laws,</w:t>
      </w:r>
      <w:r>
        <w:br/>
      </w:r>
      <w:r>
        <w:t xml:space="preserve">and federal government procurement standards. However,</w:t>
      </w:r>
      <w:r>
        <w:br/>
      </w:r>
      <w:r>
        <w:t xml:space="preserve">the initial phase of the project stalled due to ambiguous zoning classifications and disputes over land tenure rights in a historically complex area of the capital.</w:t>
      </w:r>
    </w:p>
    <w:p>
      <w:pPr>
        <w:pStyle w:val="BodyText"/>
      </w:pPr>
      <w:r>
        <w:t xml:space="preserve">Apex Construction found themselves caught in a bureaucratic labyrinth. The local municipal authorities had different interpretations of urban planning codes compared to federal regulatory bodies. Without clear legal guidance,</w:t>
      </w:r>
      <w:r>
        <w:br/>
      </w:r>
      <w:r>
        <w:t xml:space="preserve">the project faced potential delays that could cost millions in lost revenue and contractual penalties. The company realized that they needed more than just generic legal advice; they required a</w:t>
      </w:r>
      <w:r>
        <w:t xml:space="preserve"> </w:t>
      </w:r>
      <w:r>
        <w:rPr>
          <w:bCs/>
          <w:b/>
        </w:rPr>
        <w:t xml:space="preserve">Lawyer</w:t>
      </w:r>
      <w:r>
        <w:br/>
      </w:r>
      <w:r>
        <w:t xml:space="preserve">who possessed intimate knowledge of the specific jurisdictional nuances within</w:t>
      </w:r>
      <w:r>
        <w:t xml:space="preserve"> </w:t>
      </w:r>
      <w:r>
        <w:rPr>
          <w:bCs/>
          <w:b/>
        </w:rPr>
        <w:t xml:space="preserve">Nigeria Abuja</w:t>
      </w:r>
      <w:r>
        <w:t xml:space="preserve">.</w:t>
      </w:r>
    </w:p>
    <w:bookmarkEnd w:id="21"/>
    <w:bookmarkStart w:id="25" w:name="X7215b7f932d70ab6ccb268bdaa69f868724d240"/>
    <w:p>
      <w:pPr>
        <w:pStyle w:val="Heading2"/>
      </w:pPr>
      <w:r>
        <w:t xml:space="preserve">The Legal Strategy Implemented by the Lawyer</w:t>
      </w:r>
    </w:p>
    <w:p>
      <w:pPr>
        <w:pStyle w:val="FirstParagraph"/>
      </w:pPr>
      <w:r>
        <w:t xml:space="preserve">To address these challenges, Apex Construction engaged a boutique law firm specializing in corporate and real estate law. The assigned</w:t>
      </w:r>
      <w:r>
        <w:t xml:space="preserve"> </w:t>
      </w:r>
      <w:r>
        <w:rPr>
          <w:bCs/>
          <w:b/>
        </w:rPr>
        <w:t xml:space="preserve">Lawyer</w:t>
      </w:r>
      <w:r>
        <w:br/>
      </w:r>
      <w:r>
        <w:t xml:space="preserve">immediately initiated a comprehensive due diligence process. This involved three key strategic pillars:</w:t>
      </w:r>
    </w:p>
    <w:bookmarkStart w:id="22" w:name="comprehensive-land-title-verification"/>
    <w:p>
      <w:pPr>
        <w:pStyle w:val="Heading3"/>
      </w:pPr>
      <w:r>
        <w:t xml:space="preserve">1. Comprehensive Land Title Verification</w:t>
      </w:r>
    </w:p>
    <w:p>
      <w:pPr>
        <w:pStyle w:val="FirstParagraph"/>
      </w:pPr>
      <w:r>
        <w:t xml:space="preserve">The first step was to verify the ownership of the land parcel in question.</w:t>
      </w:r>
      <w:r>
        <w:br/>
      </w:r>
      <w:r>
        <w:t xml:space="preserve">In</w:t>
      </w:r>
      <w:r>
        <w:t xml:space="preserve"> </w:t>
      </w:r>
      <w:r>
        <w:rPr>
          <w:bCs/>
          <w:b/>
        </w:rPr>
        <w:t xml:space="preserve">Nigeria Abuja</w:t>
      </w:r>
      <w:r>
        <w:t xml:space="preserve">,</w:t>
      </w:r>
      <w:r>
        <w:br/>
      </w:r>
      <w:r>
        <w:t xml:space="preserve">land ownership can be particularly contentious due to overlapping claims between indigenous residents,</w:t>
      </w:r>
      <w:r>
        <w:br/>
      </w:r>
      <w:r>
        <w:t xml:space="preserve">government allocations, and private purchasers. The</w:t>
      </w:r>
      <w:r>
        <w:t xml:space="preserve"> </w:t>
      </w:r>
      <w:r>
        <w:rPr>
          <w:bCs/>
          <w:b/>
        </w:rPr>
        <w:t xml:space="preserve">Lawyer</w:t>
      </w:r>
      <w:r>
        <w:br/>
      </w:r>
      <w:r>
        <w:t xml:space="preserve">collaborated with surveyors and government officials at the Federal Capital Territory (FCT) Administration to trace the chain of title. By establishing an unbroken chain of ownership, the</w:t>
      </w:r>
      <w:r>
        <w:t xml:space="preserve"> </w:t>
      </w:r>
      <w:r>
        <w:rPr>
          <w:bCs/>
          <w:b/>
        </w:rPr>
        <w:t xml:space="preserve">Lawyer</w:t>
      </w:r>
      <w:r>
        <w:br/>
      </w:r>
      <w:r>
        <w:t xml:space="preserve">was able to secure a Certificate of Occupancy (C-of-O),</w:t>
      </w:r>
      <w:r>
        <w:br/>
      </w:r>
      <w:r>
        <w:t xml:space="preserve">which is essential for any major development in</w:t>
      </w:r>
      <w:r>
        <w:t xml:space="preserve"> </w:t>
      </w:r>
      <w:r>
        <w:rPr>
          <w:bCs/>
          <w:b/>
        </w:rPr>
        <w:t xml:space="preserve">Nigeria Abuja</w:t>
      </w:r>
      <w:r>
        <w:t xml:space="preserve">.</w:t>
      </w:r>
    </w:p>
    <w:bookmarkEnd w:id="22"/>
    <w:bookmarkStart w:id="23" w:name="navigating-regulatory-compliance"/>
    <w:p>
      <w:pPr>
        <w:pStyle w:val="Heading3"/>
      </w:pPr>
      <w:r>
        <w:t xml:space="preserve">2. Navigating Regulatory Compliance</w:t>
      </w:r>
    </w:p>
    <w:p>
      <w:pPr>
        <w:pStyle w:val="FirstParagraph"/>
      </w:pPr>
      <w:r>
        <w:t xml:space="preserve">The second pillar involved ensuring that the proposed construction plans complied with the Physical Planning Department regulations. The</w:t>
      </w:r>
      <w:r>
        <w:t xml:space="preserve"> </w:t>
      </w:r>
      <w:r>
        <w:rPr>
          <w:bCs/>
          <w:b/>
        </w:rPr>
        <w:t xml:space="preserve">Lawyer</w:t>
      </w:r>
      <w:r>
        <w:br/>
      </w:r>
      <w:r>
        <w:t xml:space="preserve">acted as an intermediary between Apex Construction and various regulatory agencies, including the Urban and Regional Planning Board of the FCT. By preemptively addressing potential compliance issues, such as environmental impact assessments (EIA),</w:t>
      </w:r>
      <w:r>
        <w:br/>
      </w:r>
      <w:r>
        <w:t xml:space="preserve">the</w:t>
      </w:r>
      <w:r>
        <w:t xml:space="preserve"> </w:t>
      </w:r>
      <w:r>
        <w:rPr>
          <w:bCs/>
          <w:b/>
        </w:rPr>
        <w:t xml:space="preserve">Lawyer</w:t>
      </w:r>
      <w:r>
        <w:br/>
      </w:r>
      <w:r>
        <w:t xml:space="preserve">prevented future legal injunctions that could have halted construction.</w:t>
      </w:r>
    </w:p>
    <w:bookmarkEnd w:id="23"/>
    <w:bookmarkStart w:id="24" w:name="negotiation-and-stakeholder-management"/>
    <w:p>
      <w:pPr>
        <w:pStyle w:val="Heading3"/>
      </w:pPr>
      <w:r>
        <w:t xml:space="preserve">3. Negotiation and Stakeholder Management</w:t>
      </w:r>
    </w:p>
    <w:p>
      <w:pPr>
        <w:pStyle w:val="FirstParagraph"/>
      </w:pPr>
      <w:r>
        <w:t xml:space="preserve">The third pillar focused on negotiation with local community leaders who had raised concerns about traffic congestion and environmental degradation. The</w:t>
      </w:r>
      <w:r>
        <w:t xml:space="preserve"> </w:t>
      </w:r>
      <w:r>
        <w:rPr>
          <w:bCs/>
          <w:b/>
        </w:rPr>
        <w:t xml:space="preserve">Lawyer</w:t>
      </w:r>
      <w:r>
        <w:br/>
      </w:r>
      <w:r>
        <w:t xml:space="preserve">facilitated dialogue between Apex Construction and community representatives, resulting in a social responsibility agreement that included job opportunities for local residents and infrastructure upgrades. This proactive approach minimized the risk of protests or legal challenges from civil society groups.</w:t>
      </w:r>
    </w:p>
    <w:bookmarkEnd w:id="24"/>
    <w:bookmarkEnd w:id="25"/>
    <w:bookmarkStart w:id="26" w:name="the-outcome"/>
    <w:p>
      <w:pPr>
        <w:pStyle w:val="Heading2"/>
      </w:pPr>
      <w:r>
        <w:t xml:space="preserve">The Outcome</w:t>
      </w:r>
    </w:p>
    <w:p>
      <w:pPr>
        <w:pStyle w:val="FirstParagraph"/>
      </w:pPr>
      <w:r>
        <w:t xml:space="preserve">The strategic intervention by the</w:t>
      </w:r>
      <w:r>
        <w:t xml:space="preserve"> </w:t>
      </w:r>
      <w:r>
        <w:rPr>
          <w:bCs/>
          <w:b/>
        </w:rPr>
        <w:t xml:space="preserve">Lawyer</w:t>
      </w:r>
      <w:r>
        <w:br/>
      </w:r>
      <w:r>
        <w:t xml:space="preserve">proved transformative. Within six months, Apex Construction had secured all necessary permits and approvals to commence construction. The project was completed on time and within budget,</w:t>
      </w:r>
      <w:r>
        <w:br/>
      </w:r>
      <w:r>
        <w:t xml:space="preserve">setting a new standard for corporate governance in</w:t>
      </w:r>
      <w:r>
        <w:t xml:space="preserve"> </w:t>
      </w:r>
      <w:r>
        <w:rPr>
          <w:bCs/>
          <w:b/>
        </w:rPr>
        <w:t xml:space="preserve">Nigeria Abuja</w:t>
      </w:r>
      <w:r>
        <w:t xml:space="preserve">.</w:t>
      </w:r>
    </w:p>
    <w:p>
      <w:pPr>
        <w:pStyle w:val="BodyText"/>
      </w:pPr>
      <w:r>
        <w:t xml:space="preserve">Key results included:</w:t>
      </w:r>
    </w:p>
    <w:p>
      <w:pPr>
        <w:numPr>
          <w:ilvl w:val="0"/>
          <w:numId w:val="1001"/>
        </w:numPr>
        <w:pStyle w:val="Compact"/>
      </w:pPr>
      <w:r>
        <w:t xml:space="preserve">Reduction of permit processing time by 40% through expert lobbying and procedural knowledge.</w:t>
      </w:r>
    </w:p>
    <w:p>
      <w:pPr>
        <w:numPr>
          <w:ilvl w:val="0"/>
          <w:numId w:val="1001"/>
        </w:numPr>
        <w:pStyle w:val="Compact"/>
      </w:pPr>
      <w:r>
        <w:t xml:space="preserve">Avoidance of potential litigation costs estimated at $2 million due to land title disputes.</w:t>
      </w:r>
    </w:p>
    <w:p>
      <w:pPr>
        <w:numPr>
          <w:ilvl w:val="0"/>
          <w:numId w:val="1001"/>
        </w:numPr>
        <w:pStyle w:val="Compact"/>
      </w:pPr>
      <w:r>
        <w:t xml:space="preserve">Enhanced corporate reputation for Apex Construction, positioning them as a compliant and community-conscious entity in</w:t>
      </w:r>
      <w:r>
        <w:t xml:space="preserve"> </w:t>
      </w:r>
      <w:r>
        <w:rPr>
          <w:bCs/>
          <w:b/>
        </w:rPr>
        <w:t xml:space="preserve">Nigeria Abuja</w:t>
      </w:r>
      <w:r>
        <w:t xml:space="preserve">.</w:t>
      </w:r>
    </w:p>
    <w:p>
      <w:pPr>
        <w:pStyle w:val="FirstParagraph"/>
      </w:pPr>
      <w:r>
        <w:t xml:space="preserve">The success of this case study highlights the critical value of hiring a skilled</w:t>
      </w:r>
      <w:r>
        <w:t xml:space="preserve"> </w:t>
      </w:r>
      <w:r>
        <w:rPr>
          <w:bCs/>
          <w:b/>
        </w:rPr>
        <w:t xml:space="preserve">Lawyer</w:t>
      </w:r>
      <w:r>
        <w:br/>
      </w:r>
      <w:r>
        <w:t xml:space="preserve">who understands the unique legal environment of</w:t>
      </w:r>
      <w:r>
        <w:t xml:space="preserve"> </w:t>
      </w:r>
      <w:r>
        <w:rPr>
          <w:bCs/>
          <w:b/>
        </w:rPr>
        <w:t xml:space="preserve">Nigeria Abuja.</w:t>
      </w:r>
    </w:p>
    <w:bookmarkEnd w:id="26"/>
    <w:bookmarkStart w:id="27" w:name="lessons-learned-and-best-practices"/>
    <w:p>
      <w:pPr>
        <w:pStyle w:val="Heading2"/>
      </w:pPr>
      <w:r>
        <w:t xml:space="preserve">Lessons Learned and Best Practices</w:t>
      </w:r>
    </w:p>
    <w:p>
      <w:pPr>
        <w:pStyle w:val="FirstParagraph"/>
      </w:pPr>
      <w:r>
        <w:t xml:space="preserve">This case study offers several valuable lessons for businesses operating in or expanding into</w:t>
      </w:r>
      <w:r>
        <w:t xml:space="preserve"> </w:t>
      </w:r>
      <w:r>
        <w:rPr>
          <w:bCs/>
          <w:b/>
        </w:rPr>
        <w:t xml:space="preserve">Nigeria Abuja:</w:t>
      </w:r>
    </w:p>
    <w:p>
      <w:pPr>
        <w:numPr>
          <w:ilvl w:val="0"/>
          <w:numId w:val="1002"/>
        </w:numPr>
        <w:pStyle w:val="Compact"/>
      </w:pPr>
      <w:r>
        <w:rPr>
          <w:bCs/>
          <w:b/>
        </w:rPr>
        <w:t xml:space="preserve">Jurisdictional Expertise is Paramount:</w:t>
      </w:r>
      <w:r>
        <w:t xml:space="preserve">The legal framework governing commercial activities in</w:t>
      </w:r>
    </w:p>
    <w:p>
      <w:pPr>
        <w:numPr>
          <w:ilvl w:val="0"/>
          <w:numId w:val="1000"/>
        </w:numPr>
        <w:pStyle w:val="Compact"/>
      </w:pPr>
      <w:r>
        <w:t xml:space="preserve">Nigeria Abuja differs from other regions due to its status as the federal capital. A</w:t>
      </w:r>
    </w:p>
    <w:p>
      <w:pPr>
        <w:numPr>
          <w:ilvl w:val="0"/>
          <w:numId w:val="1000"/>
        </w:numPr>
        <w:pStyle w:val="Compact"/>
      </w:pPr>
      <w:r>
        <w:t xml:space="preserve">Lawyer with specific experience in FCT laws is invaluable.</w:t>
      </w:r>
    </w:p>
    <w:p>
      <w:pPr>
        <w:numPr>
          <w:ilvl w:val="0"/>
          <w:numId w:val="1002"/>
        </w:numPr>
        <w:pStyle w:val="Compact"/>
      </w:pPr>
      <w:r>
        <w:rPr>
          <w:bCs/>
          <w:b/>
        </w:rPr>
        <w:t xml:space="preserve">Proactive Compliance Prevents Delays:</w:t>
      </w:r>
      <w:r>
        <w:t xml:space="preserve">Rather than reacting to legal issues after they arise, businesses should engage a</w:t>
      </w:r>
    </w:p>
    <w:p>
      <w:pPr>
        <w:numPr>
          <w:ilvl w:val="0"/>
          <w:numId w:val="1000"/>
        </w:numPr>
        <w:pStyle w:val="Compact"/>
      </w:pPr>
      <w:r>
        <w:t xml:space="preserve">Lawyerearly in the planning phase to identify and mitigate risks.</w:t>
      </w:r>
    </w:p>
    <w:p>
      <w:pPr>
        <w:numPr>
          <w:ilvl w:val="0"/>
          <w:numId w:val="1002"/>
        </w:numPr>
        <w:pStyle w:val="Compact"/>
      </w:pPr>
      <w:r>
        <w:rPr>
          <w:bCs/>
          <w:b/>
        </w:rPr>
        <w:t xml:space="preserve">Stakeholder Engagement is Part of Legal Strategy:</w:t>
      </w:r>
      <w:r>
        <w:t xml:space="preserve">In</w:t>
      </w:r>
    </w:p>
    <w:p>
      <w:pPr>
        <w:numPr>
          <w:ilvl w:val="0"/>
          <w:numId w:val="1000"/>
        </w:numPr>
        <w:pStyle w:val="Compact"/>
      </w:pPr>
      <w:r>
        <w:t xml:space="preserve">Nigeria Abuja,</w:t>
      </w:r>
      <w:r>
        <w:br/>
      </w:r>
      <w:r>
        <w:t xml:space="preserve">social license to operate is as important as legal permission. A</w:t>
      </w:r>
    </w:p>
    <w:p>
      <w:pPr>
        <w:numPr>
          <w:ilvl w:val="0"/>
          <w:numId w:val="1000"/>
        </w:numPr>
        <w:pStyle w:val="Compact"/>
      </w:pPr>
      <w:r>
        <w:t xml:space="preserve">Lawyermust often act as a negotiator and diplomat to manage community relations.</w:t>
      </w:r>
    </w:p>
    <w:bookmarkEnd w:id="27"/>
    <w:bookmarkStart w:id="28" w:name="conclusion"/>
    <w:p>
      <w:pPr>
        <w:pStyle w:val="Heading2"/>
      </w:pPr>
      <w:r>
        <w:t xml:space="preserve">Conclusion</w:t>
      </w:r>
    </w:p>
    <w:p>
      <w:pPr>
        <w:pStyle w:val="FirstParagraph"/>
      </w:pPr>
      <w:r>
        <w:t xml:space="preserve">The case of Apex Construction Ltd illustrates that in the dynamic environment of</w:t>
      </w:r>
      <w:r>
        <w:t xml:space="preserve"> </w:t>
      </w:r>
      <w:r>
        <w:rPr>
          <w:bCs/>
          <w:b/>
        </w:rPr>
        <w:t xml:space="preserve">Nigeria Abuja,</w:t>
      </w:r>
      <w:r>
        <w:br/>
      </w:r>
      <w:r>
        <w:rPr>
          <w:bCs/>
          <w:b/>
        </w:rPr>
        <w:t xml:space="preserve">legal expertise is not merely a support function but a strategic asset. The ability of a specialized</w:t>
      </w:r>
      <w:r>
        <w:rPr>
          <w:bCs/>
          <w:b/>
        </w:rPr>
        <w:t xml:space="preserve"> </w:t>
      </w:r>
      <w:r>
        <w:rPr>
          <w:bCs/>
          <w:b/>
          <w:bCs/>
          <w:b/>
        </w:rPr>
        <w:t xml:space="preserve">Lawyerto navigate complex land laws, regulatory requirements, and community dynamics can mean the difference between project success and failure. As investment in</w:t>
      </w:r>
      <w:r>
        <w:rPr>
          <w:bCs/>
          <w:b/>
          <w:bCs/>
          <w:b/>
        </w:rPr>
        <w:t xml:space="preserve"> </w:t>
      </w:r>
      <w:r>
        <w:rPr>
          <w:bCs/>
          <w:b/>
          <w:bCs/>
          <w:b/>
          <w:bCs/>
          <w:b/>
        </w:rPr>
        <w:t xml:space="preserve">Nigeria Abujacontinues to grow,</w:t>
      </w:r>
      <w:r>
        <w:br/>
      </w:r>
      <w:r>
        <w:rPr>
          <w:bCs/>
          <w:b/>
          <w:bCs/>
          <w:b/>
          <w:bCs/>
          <w:b/>
        </w:rPr>
        <w:t xml:space="preserve">the demand for high-caliber legal services will only increase. Businesses must recognize that investing in a competent</w:t>
      </w:r>
      <w:r>
        <w:rPr>
          <w:bCs/>
          <w:b/>
          <w:bCs/>
          <w:b/>
          <w:bCs/>
          <w:b/>
        </w:rPr>
        <w:t xml:space="preserve"> </w:t>
      </w:r>
      <w:r>
        <w:rPr>
          <w:bCs/>
          <w:b/>
          <w:bCs/>
          <w:b/>
          <w:bCs/>
          <w:b/>
          <w:bCs/>
          <w:b/>
        </w:rPr>
        <w:t xml:space="preserve">Lawyeris an investment in the stability, compliance, and long-term viability of their operations within this vibrant capital city.</w:t>
      </w:r>
    </w:p>
    <w:p>
      <w:pPr>
        <w:pStyle w:val="BodyText"/>
      </w:pPr>
      <w:r>
        <w:t xml:space="preserve">This case study serves as a testament to the power of informed legal counsel in unlocking economic potential while upholding the rule of law in</w:t>
      </w:r>
    </w:p>
    <w:p>
      <w:pPr>
        <w:pStyle w:val="BodyText"/>
      </w:pPr>
      <w:r>
        <w:t xml:space="preserve">Nigeria Abuja.</w:t>
      </w:r>
      <w:r>
        <w:br/>
      </w:r>
      <w:r>
        <w:t xml:space="preserve">For any entity looking to thrive in this region,</w:t>
      </w:r>
      <w:r>
        <w:br/>
      </w:r>
      <w:r>
        <w:t xml:space="preserve">partnering with a trusted</w:t>
      </w:r>
    </w:p>
    <w:p>
      <w:pPr>
        <w:pStyle w:val="BodyText"/>
      </w:pPr>
      <w:r>
        <w:t xml:space="preserve">Lawyeris not just advisable; it is essential.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Legal Excellence in Nigeria Abuja</dc:title>
  <dc:creator/>
  <dc:language>en</dc:language>
  <cp:keywords/>
  <dcterms:created xsi:type="dcterms:W3CDTF">2026-07-29T11:02:07Z</dcterms:created>
  <dcterms:modified xsi:type="dcterms:W3CDTF">2026-07-29T11:02:07Z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