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Legal</w:t>
      </w:r>
      <w:r>
        <w:t xml:space="preserve"> </w:t>
      </w:r>
      <w:r>
        <w:t xml:space="preserve">Representation</w:t>
      </w:r>
      <w:r>
        <w:t xml:space="preserve"> </w:t>
      </w:r>
      <w:r>
        <w:t xml:space="preserve">in</w:t>
      </w:r>
      <w:r>
        <w:t xml:space="preserve"> </w:t>
      </w:r>
      <w:r>
        <w:t xml:space="preserve">Qatar</w:t>
      </w:r>
      <w:r>
        <w:t xml:space="preserve"> </w:t>
      </w:r>
      <w:r>
        <w:t xml:space="preserve">Doha</w:t>
      </w:r>
    </w:p>
    <w:bookmarkStart w:id="20" w:name="Xb0a420005150149942379230619d92bfed3ead1"/>
    <w:p>
      <w:pPr>
        <w:pStyle w:val="Heading1"/>
      </w:pPr>
      <w:r>
        <w:t xml:space="preserve">Case Study: Navigating Complex Commercial Litigation as a Lawyer in Qatar Doha</w:t>
      </w:r>
    </w:p>
    <w:p>
      <w:pPr>
        <w:pStyle w:val="FirstParagraph"/>
      </w:pPr>
      <w:r>
        <w:rPr>
          <w:bCs/>
          <w:b/>
        </w:rPr>
        <w:t xml:space="preserve">Date:</w:t>
      </w:r>
      <w:r>
        <w:t xml:space="preserve"> </w:t>
      </w:r>
      <w:r>
        <w:t xml:space="preserve">October 2023</w:t>
      </w:r>
      <w:r>
        <w:br/>
      </w:r>
    </w:p>
    <w:p>
      <w:pPr>
        <w:pStyle w:val="BodyText"/>
      </w:pPr>
      <w:r>
        <w:t xml:space="preserve">Jurisdiction:</w:t>
      </w:r>
      <w:r>
        <w:rPr>
          <w:bCs/>
          <w:b/>
        </w:rPr>
        <w:t xml:space="preserve">Firm Type:</w:t>
      </w:r>
      <w:r>
        <w:t xml:space="preserve"> </w:t>
      </w:r>
      <w:r>
        <w:t xml:space="preserve">Boutique International Law Firm</w:t>
      </w:r>
    </w:p>
    <w:bookmarkEnd w:id="20"/>
    <w:bookmarkStart w:id="21" w:name="executive-summary"/>
    <w:p>
      <w:pPr>
        <w:pStyle w:val="Heading3"/>
      </w:pPr>
      <w:r>
        <w:t xml:space="preserve">Executive Summary</w:t>
      </w:r>
    </w:p>
    <w:p>
      <w:pPr>
        <w:pStyle w:val="FirstParagraph"/>
      </w:pPr>
      <w:r>
        <w:t xml:space="preserve">This case study examines the pivotal role of a specialized lawyer operating within the dynamic legal landscape of Qatar Doha. It details how strategic counsel, deep local knowledge, and an understanding of both civil law traditions and international commercial standards allowed for the successful resolution of a high-stakes construction dispute. The study highlights why retaining a qualified lawyer in Qatar Doha is essential for foreign investors and domestic entities alike.</w:t>
      </w:r>
    </w:p>
    <w:bookmarkEnd w:id="21"/>
    <w:bookmarkStart w:id="22" w:name="X121451fa3ae5733f5781470e6a8d9ea354c3ada"/>
    <w:p>
      <w:pPr>
        <w:pStyle w:val="Heading2"/>
      </w:pPr>
      <w:r>
        <w:t xml:space="preserve">1. Introduction: The Legal Landscape of Qatar Doha</w:t>
      </w:r>
    </w:p>
    <w:p>
      <w:pPr>
        <w:pStyle w:val="FirstParagraph"/>
      </w:pPr>
      <w:r>
        <w:t xml:space="preserve">The State of Qatar has undergone rapid economic transformation, particularly in the decades leading up to and following the 2022 FIFA World Cup. This growth has concentrated immense commercial activity in its capital, Qatar Doha. For international businesses and local conglomerates, this environment presents both unprecedented opportunities and complex legal challenges.</w:t>
      </w:r>
    </w:p>
    <w:p>
      <w:pPr>
        <w:pStyle w:val="BodyText"/>
      </w:pPr>
      <w:r>
        <w:t xml:space="preserve">In this context, a</w:t>
      </w:r>
      <w:r>
        <w:t xml:space="preserve"> </w:t>
      </w:r>
      <w:r>
        <w:rPr>
          <w:bCs/>
          <w:b/>
        </w:rPr>
        <w:t xml:space="preserve">Lawyer</w:t>
      </w:r>
      <w:r>
        <w:t xml:space="preserve"> </w:t>
      </w:r>
      <w:r>
        <w:t xml:space="preserve">is not merely a procedural formalist but a strategic advisor who must navigate the dual layers of Qatari statutory law (derived largely from Egyptian civil codes) and international best practices. The specific geography of</w:t>
      </w:r>
      <w:r>
        <w:t xml:space="preserve"> </w:t>
      </w:r>
      <w:r>
        <w:rPr>
          <w:bCs/>
          <w:b/>
        </w:rPr>
        <w:t xml:space="preserve">Qatar Doha</w:t>
      </w:r>
      <w:r>
        <w:t xml:space="preserve"> </w:t>
      </w:r>
      <w:r>
        <w:t xml:space="preserve">acts as the hub for these legal proceedings, where courts are increasingly digitized yet traditional relationship-building remains paramount.</w:t>
      </w:r>
    </w:p>
    <w:bookmarkEnd w:id="22"/>
    <w:bookmarkStart w:id="25" w:name="X139a277d54c1146533b47e49bb33b45bf151fa3"/>
    <w:p>
      <w:pPr>
        <w:pStyle w:val="Heading2"/>
      </w:pPr>
      <w:r>
        <w:t xml:space="preserve">2. Case Background: The Al-Saffa Infrastructure Project</w:t>
      </w:r>
    </w:p>
    <w:bookmarkStart w:id="23" w:name="the-client-and-the-dispute"/>
    <w:p>
      <w:pPr>
        <w:pStyle w:val="Heading3"/>
      </w:pPr>
      <w:r>
        <w:t xml:space="preserve">The Client and the Dispute</w:t>
      </w:r>
    </w:p>
    <w:p>
      <w:pPr>
        <w:pStyle w:val="FirstParagraph"/>
      </w:pPr>
      <w:r>
        <w:t xml:space="preserve">The client was a consortium of European construction firms involved in a major infrastructure project in West Bay, the central business district of Qatar Doha. The contract, governed by Qatari law, stipulated strict timelines and penalty clauses for delays. Due to unforeseen supply chain disruptions caused by global logistics issues and local permitting delays at municipal authorities in</w:t>
      </w:r>
      <w:r>
        <w:t xml:space="preserve"> </w:t>
      </w:r>
      <w:r>
        <w:rPr>
          <w:bCs/>
          <w:b/>
        </w:rPr>
        <w:t xml:space="preserve">Qatar Doha</w:t>
      </w:r>
      <w:r>
        <w:t xml:space="preserve">, the project fell behind schedule.</w:t>
      </w:r>
    </w:p>
    <w:bookmarkEnd w:id="23"/>
    <w:bookmarkStart w:id="24" w:name="the-breach-allegations"/>
    <w:p>
      <w:pPr>
        <w:pStyle w:val="Heading3"/>
      </w:pPr>
      <w:r>
        <w:t xml:space="preserve">The Breach Allegations</w:t>
      </w:r>
    </w:p>
    <w:p>
      <w:pPr>
        <w:pStyle w:val="FirstParagraph"/>
      </w:pPr>
      <w:r>
        <w:t xml:space="preserve">The client faced a claim for damages exceeding $15 million USD, alleging breach of contract and negligence. The opposing party, a large local developer, sought to terminate the contract and seize performance bonds. Without expert legal intervention, the financial exposure threatened to bankrupt the consortium.</w:t>
      </w:r>
    </w:p>
    <w:bookmarkEnd w:id="24"/>
    <w:bookmarkEnd w:id="25"/>
    <w:bookmarkStart w:id="26" w:name="the-role-of-the-lawyer-in-qatar-doha"/>
    <w:p>
      <w:pPr>
        <w:pStyle w:val="Heading2"/>
      </w:pPr>
      <w:r>
        <w:t xml:space="preserve">3. The Role of the Lawyer in Qatar Doha</w:t>
      </w:r>
    </w:p>
    <w:p>
      <w:pPr>
        <w:pStyle w:val="FirstParagraph"/>
      </w:pPr>
      <w:r>
        <w:t xml:space="preserve">The engagement of a specialized lawyer was critical for several strategic reasons specific to operating in Qatar Doha.</w:t>
      </w:r>
    </w:p>
    <w:p>
      <w:pPr>
        <w:numPr>
          <w:ilvl w:val="0"/>
          <w:numId w:val="1001"/>
        </w:numPr>
        <w:pStyle w:val="Compact"/>
      </w:pPr>
      <w:r>
        <w:rPr>
          <w:bCs/>
          <w:b/>
        </w:rPr>
        <w:t xml:space="preserve">Navigating Local Procedural Nuances:</w:t>
      </w:r>
      <w:r>
        <w:t xml:space="preserve">A lawyer experienced in the courts of Qatar Doha understood the specific requirements for evidence submission. In many common law jurisdictions, discovery is broad; however, under Qatari civil procedure, parties must submit all evidence at the outset or face preclusion. The lawyer ensured a comprehensive dossier was prepared immediately.</w:t>
      </w:r>
    </w:p>
    <w:p>
      <w:pPr>
        <w:numPr>
          <w:ilvl w:val="0"/>
          <w:numId w:val="1001"/>
        </w:numPr>
        <w:pStyle w:val="Compact"/>
      </w:pPr>
      <w:r>
        <w:rPr>
          <w:bCs/>
          <w:b/>
        </w:rPr>
        <w:t xml:space="preserve">Interpretation of Force Majeure:</w:t>
      </w:r>
      <w:r>
        <w:t xml:space="preserve">The core legal argument hinged on whether the supply chain issues constituted</w:t>
      </w:r>
      <w:r>
        <w:t xml:space="preserve"> </w:t>
      </w:r>
      <w:r>
        <w:rPr>
          <w:iCs/>
          <w:i/>
        </w:rPr>
        <w:t xml:space="preserve">Force Majeure</w:t>
      </w:r>
      <w:r>
        <w:t xml:space="preserve">. A lawyer in Qatar Doha provided a nuanced interpretation of Article 171 and 172 of the Qatari Civil Law, arguing that while the delays were significant, they did not render performance impossible, but rather excessively burdensome. This distinction allowed for contract renegotiation rather than termination.</w:t>
      </w:r>
    </w:p>
    <w:p>
      <w:pPr>
        <w:numPr>
          <w:ilvl w:val="0"/>
          <w:numId w:val="1001"/>
        </w:numPr>
        <w:pStyle w:val="Compact"/>
      </w:pPr>
      <w:r>
        <w:rPr>
          <w:bCs/>
          <w:b/>
        </w:rPr>
        <w:t xml:space="preserve">Cultural and Linguistic Mediation:</w:t>
      </w:r>
      <w:r>
        <w:t xml:space="preserve">Litigation in Qatar Doha often involves bilingual documentation (Arabic and English). The lawyer managed the translation nuances, ensuring that the Arabic version of the contract—which holds legal precedence in Qatari courts—was interpreted in a way that protected the client’s interests. Furthermore, understanding the court culture allowed for a more respectful and effective negotiation strategy.</w:t>
      </w:r>
    </w:p>
    <w:bookmarkEnd w:id="26"/>
    <w:bookmarkStart w:id="27" w:name="strategic-approach-and-implementation"/>
    <w:p>
      <w:pPr>
        <w:pStyle w:val="Heading2"/>
      </w:pPr>
      <w:r>
        <w:t xml:space="preserve">4. Strategic Approach and Implementation</w:t>
      </w:r>
    </w:p>
    <w:p>
      <w:pPr>
        <w:pStyle w:val="FirstParagraph"/>
      </w:pPr>
      <w:r>
        <w:t xml:space="preserve">The lawyer adopted a multi-pronged strategy tailored to the environment of Qatar Doha:</w:t>
      </w:r>
    </w:p>
    <w:p>
      <w:pPr>
        <w:numPr>
          <w:ilvl w:val="0"/>
          <w:numId w:val="1002"/>
        </w:numPr>
        <w:pStyle w:val="Compact"/>
      </w:pPr>
      <w:r>
        <w:rPr>
          <w:bCs/>
          <w:b/>
        </w:rPr>
        <w:t xml:space="preserve">Rapid Response &amp; Evidence Preservation:</w:t>
      </w:r>
      <w:r>
        <w:t xml:space="preserve">The lawyer immediately secured all correspondence, delay notices, and expert reports. They filed an urgent motion with the Court of First Instance in Qatar Doha to suspend the enforcement of penalty payments pending the trial.</w:t>
      </w:r>
    </w:p>
    <w:p>
      <w:pPr>
        <w:numPr>
          <w:ilvl w:val="0"/>
          <w:numId w:val="1002"/>
        </w:numPr>
        <w:pStyle w:val="Compact"/>
      </w:pPr>
      <w:r>
        <w:rPr>
          <w:bCs/>
          <w:b/>
        </w:rPr>
        <w:t xml:space="preserve">Expert Witness Coordination:</w:t>
      </w:r>
      <w:r>
        <w:t xml:space="preserve">In Qatari courts, judges rely heavily on court-appointed experts. The lawyer successfully influenced the selection of a neutral technical expert who understood international construction standards, ensuring that the expert’s preliminary report favored a finding of shared liability rather than total client fault.</w:t>
      </w:r>
    </w:p>
    <w:p>
      <w:pPr>
        <w:numPr>
          <w:ilvl w:val="0"/>
          <w:numId w:val="1002"/>
        </w:numPr>
        <w:pStyle w:val="Compact"/>
      </w:pPr>
      <w:r>
        <w:rPr>
          <w:bCs/>
          <w:b/>
        </w:rPr>
        <w:t xml:space="preserve">Negotiation Leverage:</w:t>
      </w:r>
      <w:r>
        <w:t xml:space="preserve">While litigation was underway, the lawyer leveraged procedural delays and the strong evidentiary position to initiate settlement talks. They highlighted to the opposing counsel in Qatar Doha that a prolonged trial would result in further financial drains for both parties, particularly given the reputational risks associated with publicized construction failures.</w:t>
      </w:r>
    </w:p>
    <w:p>
      <w:pPr>
        <w:pStyle w:val="FirstParagraph"/>
      </w:pPr>
      <w:r>
        <w:rPr>
          <w:bCs/>
          <w:b/>
        </w:rPr>
        <w:t xml:space="preserve">Key Insight:</w:t>
      </w:r>
      <w:r>
        <w:t xml:space="preserve"> </w:t>
      </w:r>
      <w:r>
        <w:t xml:space="preserve">The effectiveness of the lawyer was directly tied to their ability to bridge the gap between international commercial expectations and the localized judicial realities of Qatar Doha. A generic international lawyer without local presence would have failed in these procedural nuances.</w:t>
      </w:r>
    </w:p>
    <w:bookmarkEnd w:id="27"/>
    <w:bookmarkStart w:id="28" w:name="outcomes-and-results"/>
    <w:p>
      <w:pPr>
        <w:pStyle w:val="Heading2"/>
      </w:pPr>
      <w:r>
        <w:t xml:space="preserve">5. Outcomes and Results</w:t>
      </w:r>
    </w:p>
    <w:p>
      <w:pPr>
        <w:pStyle w:val="FirstParagraph"/>
      </w:pPr>
      <w:r>
        <w:t xml:space="preserve">The case concluded favorably for the client through a combination of judicial ruling and settlement:</w:t>
      </w:r>
    </w:p>
    <w:p>
      <w:pPr>
        <w:numPr>
          <w:ilvl w:val="0"/>
          <w:numId w:val="1003"/>
        </w:numPr>
        <w:pStyle w:val="Compact"/>
      </w:pPr>
      <w:r>
        <w:rPr>
          <w:bCs/>
          <w:b/>
        </w:rPr>
        <w:t xml:space="preserve">Avoidance of Termination:</w:t>
      </w:r>
      <w:r>
        <w:t xml:space="preserve">The court rejected the termination of the contract, recognizing that performance was still possible despite delays.</w:t>
      </w:r>
    </w:p>
    <w:p>
      <w:pPr>
        <w:numPr>
          <w:ilvl w:val="0"/>
          <w:numId w:val="1003"/>
        </w:numPr>
        <w:pStyle w:val="Compact"/>
      </w:pPr>
      <w:r>
        <w:rPr>
          <w:bCs/>
          <w:b/>
        </w:rPr>
        <w:t xml:space="preserve">Reduction in Damages:</w:t>
      </w:r>
      <w:r>
        <w:t xml:space="preserve">The awarded damages were reduced by 60% compared to the initial claim. The lawyer successfully argued for an extension of time for certain phases of work due to factors beyond reasonable control.</w:t>
      </w:r>
    </w:p>
    <w:p>
      <w:pPr>
        <w:numPr>
          <w:ilvl w:val="0"/>
          <w:numId w:val="1003"/>
        </w:numPr>
        <w:pStyle w:val="Compact"/>
      </w:pPr>
      <w:r>
        <w:rPr>
          <w:bCs/>
          <w:b/>
        </w:rPr>
        <w:t xml:space="preserve">Mutual Release and Future Partnership:</w:t>
      </w:r>
      <w:r>
        <w:t xml:space="preserve">In a strategic move, the parties agreed to settle the remaining balance out of court. This preserved business relationships in Qatar Doha, allowing the client to bid on future projects in the region without a "blacklisted" reputation.</w:t>
      </w:r>
    </w:p>
    <w:bookmarkEnd w:id="28"/>
    <w:bookmarkStart w:id="29" w:name="X7c91a71a8c1e2b41310ae1d2f91141a5fb66a13"/>
    <w:p>
      <w:pPr>
        <w:pStyle w:val="Heading2"/>
      </w:pPr>
      <w:r>
        <w:t xml:space="preserve">6. Lessons Learned for Businesses Operating in Qatar Doha</w:t>
      </w:r>
    </w:p>
    <w:p>
      <w:pPr>
        <w:pStyle w:val="FirstParagraph"/>
      </w:pPr>
      <w:r>
        <w:t xml:space="preserve">This case study underscores several critical lessons for any entity operating as a lawyer or client in Qatar Doha:</w:t>
      </w:r>
    </w:p>
    <w:p>
      <w:pPr>
        <w:numPr>
          <w:ilvl w:val="0"/>
          <w:numId w:val="1004"/>
        </w:numPr>
        <w:pStyle w:val="Compact"/>
      </w:pPr>
      <w:r>
        <w:rPr>
          <w:bCs/>
          <w:b/>
        </w:rPr>
        <w:t xml:space="preserve">Late Engagement is Costly:</w:t>
      </w:r>
      <w:r>
        <w:t xml:space="preserve">The complexity of Qatari commercial law requires early involvement. Waiting until litigation has escalated in the courts of Qatar Doha often limits remedial options.</w:t>
      </w:r>
    </w:p>
    <w:p>
      <w:pPr>
        <w:numPr>
          <w:ilvl w:val="0"/>
          <w:numId w:val="1004"/>
        </w:numPr>
        <w:pStyle w:val="Compact"/>
      </w:pPr>
      <w:r>
        <w:rPr>
          <w:bCs/>
          <w:b/>
        </w:rPr>
        <w:t xml:space="preserve">Civil Law Rigidity:</w:t>
      </w:r>
      <w:r>
        <w:t xml:space="preserve">Unlike common law systems, civil law proceedings in Qatar are document-heavy and less reliant on oral advocacy during initial stages. A lawyer must be meticulous in written submissions.</w:t>
      </w:r>
    </w:p>
    <w:p>
      <w:pPr>
        <w:numPr>
          <w:ilvl w:val="0"/>
          <w:numId w:val="1004"/>
        </w:numPr>
        <w:pStyle w:val="Compact"/>
      </w:pPr>
      <w:r>
        <w:rPr>
          <w:bCs/>
          <w:b/>
        </w:rPr>
        <w:t xml:space="preserve">The Importance of Local Presence:</w:t>
      </w:r>
      <w:r>
        <w:t xml:space="preserve">A lawyer physically based in Qatar Doha has immediate access to courts and notaries. This proximity allows for real-time adjustments to legal strategy as judicial attitudes become clear during hearings.</w:t>
      </w:r>
    </w:p>
    <w:bookmarkEnd w:id="29"/>
    <w:bookmarkStart w:id="30" w:name="conclusion"/>
    <w:p>
      <w:pPr>
        <w:pStyle w:val="Heading2"/>
      </w:pPr>
      <w:r>
        <w:t xml:space="preserve">7. Conclusion</w:t>
      </w:r>
    </w:p>
    <w:p>
      <w:pPr>
        <w:pStyle w:val="FirstParagraph"/>
      </w:pPr>
      <w:r>
        <w:t xml:space="preserve">The successful resolution of the Al-Saffa dispute illustrates that being a lawyer in this jurisdiction is about more than just knowing the law; it is about mastering the ecosystem of Qatar Doha. The interplay between international contracts and local civil codes requires a legal professional who can translate commercial objectives into legally viable outcomes within the Qatari framework.</w:t>
      </w:r>
    </w:p>
    <w:p>
      <w:pPr>
        <w:pStyle w:val="BodyText"/>
      </w:pPr>
      <w:r>
        <w:t xml:space="preserve">For businesses expanding into or operating within Qatar, investing in top-tier legal representation is not an administrative expense but a strategic imperative. As the market in Qatar Doha continues to mature and diversify beyond energy and construction, the complexity of disputes will only increase. Therefore, retaining a skilled lawyer with deep roots in Qatar Doha remains the most reliable path to protecting assets and ensuring sustainable commercial growth.</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1"/>
  </w:num>
  <w:num w:numId="1002">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Legal Representation in Qatar Doha</dc:title>
  <dc:creator/>
  <dc:language>en</dc:language>
  <cp:keywords/>
  <dcterms:created xsi:type="dcterms:W3CDTF">2026-07-29T07:29:16Z</dcterms:created>
  <dcterms:modified xsi:type="dcterms:W3CDTF">2026-07-29T07:29:16Z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