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903d0999951040d7a80625ddf17ebb133ca67cc"/>
    <w:p>
      <w:pPr>
        <w:pStyle w:val="Heading1"/>
      </w:pPr>
      <w:r>
        <w:t xml:space="preserve">Case Study: Navigating Complex Commercial Litigation with a Lawyer in Russia Saint Petersburg</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Russia, Saint Petersburg</w:t>
      </w:r>
      <w:r>
        <w:br/>
      </w:r>
      <w:r>
        <w:rPr>
          <w:bCs/>
          <w:b/>
        </w:rPr>
        <w:t xml:space="preserve">Status:</w:t>
      </w:r>
      <w:r>
        <w:t xml:space="preserve"> </w:t>
      </w:r>
      <w:r>
        <w:t xml:space="preserve">Closed / Successful Resolution</w:t>
      </w:r>
    </w:p>
    <w:p>
      <w:pPr>
        <w:pStyle w:val="BodyText"/>
      </w:pPr>
      <w:r>
        <w:t xml:space="preserve">I. Executive Summary</w:t>
      </w:r>
    </w:p>
    <w:p>
      <w:pPr>
        <w:pStyle w:val="BodyText"/>
      </w:pPr>
      <w:r>
        <w:t xml:space="preserve">This case study examines a complex commercial dispute involving a multinational technology firm seeking to establish operations in the northern capital of Russia. The primary focus is on the critical role played by a local</w:t>
      </w:r>
      <w:r>
        <w:t xml:space="preserve"> </w:t>
      </w:r>
      <w:r>
        <w:rPr>
          <w:bCs/>
          <w:b/>
        </w:rPr>
        <w:t xml:space="preserve">Lawyer</w:t>
      </w:r>
      <w:r>
        <w:t xml:space="preserve"> </w:t>
      </w:r>
      <w:r>
        <w:t xml:space="preserve">specializing in Russian corporate law within the city of</w:t>
      </w:r>
      <w:r>
        <w:t xml:space="preserve"> </w:t>
      </w:r>
      <w:r>
        <w:rPr>
          <w:bCs/>
          <w:b/>
        </w:rPr>
        <w:t xml:space="preserve">Russia Saint Petersburg</w:t>
      </w:r>
      <w:r>
        <w:t xml:space="preserve">. The document highlights how navigating the intricate web of regional regulations, federal statutes, and local judicial practices required specialized expertise. By engaging a qualified legal professional based in</w:t>
      </w:r>
      <w:r>
        <w:t xml:space="preserve"> </w:t>
      </w:r>
      <w:r>
        <w:rPr>
          <w:bCs/>
          <w:b/>
        </w:rPr>
        <w:t xml:space="preserve">Russia Saint Petersburg</w:t>
      </w:r>
      <w:r>
        <w:t xml:space="preserve">, the client was able to mitigate significant risks associated with regulatory non-compliance and secure favorable arbitration outcomes.</w:t>
      </w:r>
    </w:p>
    <w:bookmarkStart w:id="20" w:name="ii.-client-background-and-challenge"/>
    <w:p>
      <w:pPr>
        <w:pStyle w:val="Heading2"/>
      </w:pPr>
      <w:r>
        <w:t xml:space="preserve">II. Client Background and Challenge</w:t>
      </w:r>
    </w:p>
    <w:p>
      <w:pPr>
        <w:pStyle w:val="FirstParagraph"/>
      </w:pPr>
      <w:r>
        <w:t xml:space="preserve">The client, "TechGlobal Solutions," is a mid-sized software development company based in Western Europe. Their strategic goal was to launch a regional headquarters in the bustling economic hub of Saint Petersburg, leveraging the city's high concentration of IT talent and its status as a free port zone. However, upon entering the market in</w:t>
      </w:r>
      <w:r>
        <w:t xml:space="preserve"> </w:t>
      </w:r>
      <w:r>
        <w:rPr>
          <w:bCs/>
          <w:b/>
        </w:rPr>
        <w:t xml:space="preserve">Russia Saint Petersburg</w:t>
      </w:r>
      <w:r>
        <w:t xml:space="preserve">, TechGlobal encountered severe operational hurdles.</w:t>
      </w:r>
    </w:p>
    <w:p>
      <w:pPr>
        <w:pStyle w:val="BodyText"/>
      </w:pPr>
      <w:r>
        <w:t xml:space="preserve">The primary challenges were threefold:</w:t>
      </w:r>
      <w:r>
        <w:t xml:space="preserve"> </w:t>
      </w:r>
      <w:r>
        <w:t xml:space="preserve">1. **Regulatory Ambiguity:** Conflicting interpretations of federal labor laws versus local municipal regulations regarding foreign employee visas and work permits.</w:t>
      </w:r>
      <w:r>
        <w:t xml:space="preserve"> </w:t>
      </w:r>
      <w:r>
        <w:t xml:space="preserve">2. **Intellectual Property (IP) Theft Allegations:** A former contractor accused TechGlobal of misappropriating code, threatening immediate injunctions in the Saint Petersburg City Court.</w:t>
      </w:r>
      <w:r>
        <w:t xml:space="preserve"> </w:t>
      </w:r>
      <w:r>
        <w:t xml:space="preserve">3. **Vendor Contract Disputes:** Local suppliers refused to honor agreed-upon payment terms, citing currency fluctuation clauses that were ambiguously worded.</w:t>
      </w:r>
    </w:p>
    <w:p>
      <w:pPr>
        <w:pStyle w:val="BodyText"/>
      </w:pPr>
      <w:r>
        <w:t xml:space="preserve">Without local expertise, TechGlobal risked prolonged litigation, reputational damage in the</w:t>
      </w:r>
      <w:r>
        <w:t xml:space="preserve"> </w:t>
      </w:r>
      <w:r>
        <w:rPr>
          <w:bCs/>
          <w:b/>
        </w:rPr>
        <w:t xml:space="preserve">Russia Saint Petersburg</w:t>
      </w:r>
      <w:r>
        <w:t xml:space="preserve"> </w:t>
      </w:r>
      <w:r>
        <w:t xml:space="preserve">business community, and potential expulsion from the free port zone incentives. They retained a specialized</w:t>
      </w:r>
      <w:r>
        <w:t xml:space="preserve"> </w:t>
      </w:r>
      <w:r>
        <w:rPr>
          <w:bCs/>
          <w:b/>
        </w:rPr>
        <w:t xml:space="preserve">Lawyer</w:t>
      </w:r>
      <w:r>
        <w:t xml:space="preserve"> </w:t>
      </w:r>
      <w:r>
        <w:t xml:space="preserve">based in St. Petersburg to manage these crises.</w:t>
      </w:r>
    </w:p>
    <w:bookmarkEnd w:id="20"/>
    <w:bookmarkStart w:id="24" w:name="Xc5022d03e91ce1d5b0e90877967e0a4ace925df"/>
    <w:p>
      <w:pPr>
        <w:pStyle w:val="Heading2"/>
      </w:pPr>
      <w:r>
        <w:t xml:space="preserve">III. The Legal Strategy Employed by the Lawyer</w:t>
      </w:r>
    </w:p>
    <w:p>
      <w:pPr>
        <w:pStyle w:val="FirstParagraph"/>
      </w:pPr>
      <w:r>
        <w:t xml:space="preserve">The assigned</w:t>
      </w:r>
      <w:r>
        <w:t xml:space="preserve"> </w:t>
      </w:r>
      <w:r>
        <w:rPr>
          <w:bCs/>
          <w:b/>
        </w:rPr>
        <w:t xml:space="preserve">Lawyer</w:t>
      </w:r>
      <w:r>
        <w:t xml:space="preserve">, an attorney with over fifteen years of experience in the legal landscape of</w:t>
      </w:r>
      <w:r>
        <w:t xml:space="preserve"> </w:t>
      </w:r>
      <w:r>
        <w:rPr>
          <w:bCs/>
          <w:b/>
        </w:rPr>
        <w:t xml:space="preserve">Russia Saint Petersburg</w:t>
      </w:r>
      <w:r>
        <w:t xml:space="preserve">, implemented a multi-phased strategy tailored to the specific nuances of Russian jurisprudence.</w:t>
      </w:r>
    </w:p>
    <w:bookmarkStart w:id="21" w:name="Xb91c756836ce67c037b096a926fd7d45bc2162f"/>
    <w:p>
      <w:pPr>
        <w:pStyle w:val="Heading3"/>
      </w:pPr>
      <w:r>
        <w:t xml:space="preserve">A. Immediate Crisis Management and IP Defense</w:t>
      </w:r>
    </w:p>
    <w:p>
      <w:pPr>
        <w:pStyle w:val="FirstParagraph"/>
      </w:pPr>
      <w:r>
        <w:t xml:space="preserve">The first priority was addressing the IP theft allegations. The local court system in Saint Petersburg places a heavy emphasis on written evidence and procedural correctness. The</w:t>
      </w:r>
      <w:r>
        <w:t xml:space="preserve"> </w:t>
      </w:r>
      <w:r>
        <w:rPr>
          <w:bCs/>
          <w:b/>
        </w:rPr>
        <w:t xml:space="preserve">Lawyer</w:t>
      </w:r>
      <w:r>
        <w:t xml:space="preserve"> </w:t>
      </w:r>
      <w:r>
        <w:t xml:space="preserve">immediately filed a counter-claim for defamation, arguing that the allegations were baseless and intended to disrupt business operations. By utilizing specific precedents from the Commercial Court of Saint Petersburg, the attorney demonstrated that the code in question was open-source software available globally, thereby neutralizing the claim of proprietary theft. This proactive stance prevented an immediate injunction against TechGlobal’s servers.</w:t>
      </w:r>
    </w:p>
    <w:bookmarkEnd w:id="21"/>
    <w:bookmarkStart w:id="22" w:name="Xb57793e8ea00c2daff5274e2074344493691d04"/>
    <w:p>
      <w:pPr>
        <w:pStyle w:val="Heading3"/>
      </w:pPr>
      <w:r>
        <w:t xml:space="preserve">B. Navigating Regulatory Compliance in Russia Saint Petersburg</w:t>
      </w:r>
    </w:p>
    <w:p>
      <w:pPr>
        <w:pStyle w:val="FirstParagraph"/>
      </w:pPr>
      <w:r>
        <w:t xml:space="preserve">The second phase involved resolving labor law conflicts. The local municipal authorities in</w:t>
      </w:r>
      <w:r>
        <w:t xml:space="preserve"> </w:t>
      </w:r>
      <w:r>
        <w:rPr>
          <w:bCs/>
          <w:b/>
        </w:rPr>
        <w:t xml:space="preserve">Russia Saint Petersburg</w:t>
      </w:r>
      <w:r>
        <w:t xml:space="preserve"> </w:t>
      </w:r>
      <w:r>
        <w:t xml:space="preserve">have strict quotas and reporting requirements for hiring foreign nationals. The</w:t>
      </w:r>
      <w:r>
        <w:t xml:space="preserve"> </w:t>
      </w:r>
      <w:r>
        <w:rPr>
          <w:bCs/>
          <w:b/>
        </w:rPr>
        <w:t xml:space="preserve">Lawyer</w:t>
      </w:r>
      <w:r>
        <w:t xml:space="preserve"> </w:t>
      </w:r>
      <w:r>
        <w:t xml:space="preserve">conducted a comprehensive audit of all employment contracts. It was discovered that several contracts were structured in a way that violated recent amendments to the Federal Law on Foreign Citizens' Legal Status. The attorney negotiated directly with the local Ministry of Internal Affairs (MVD) office in Saint Petersburg, leveraging existing relationships and detailed documentation to rectify visa statuses retroactively without imposing fines on the client.</w:t>
      </w:r>
    </w:p>
    <w:bookmarkEnd w:id="22"/>
    <w:bookmarkStart w:id="23" w:name="X46e8d393470710d6c3f54423f4f498c43833b83"/>
    <w:p>
      <w:pPr>
        <w:pStyle w:val="Heading3"/>
      </w:pPr>
      <w:r>
        <w:t xml:space="preserve">C. Commercial Arbitration for Vendor Disputes</w:t>
      </w:r>
    </w:p>
    <w:p>
      <w:pPr>
        <w:pStyle w:val="FirstParagraph"/>
      </w:pPr>
      <w:r>
        <w:t xml:space="preserve">Regarding the vendor disputes, the</w:t>
      </w:r>
      <w:r>
        <w:t xml:space="preserve"> </w:t>
      </w:r>
      <w:r>
        <w:rPr>
          <w:bCs/>
          <w:b/>
        </w:rPr>
        <w:t xml:space="preserve">Lawyer</w:t>
      </w:r>
      <w:r>
        <w:t xml:space="preserve"> </w:t>
      </w:r>
      <w:r>
        <w:t xml:space="preserve">advised TechGlobal to invoke the arbitration clause in their contracts. Instead of proceeding through general jurisdiction courts, which can be slow and subject to local biases, they utilized the International Commercial Arbitration Court (ICAC) at the Chamber of Commerce and Industry of Russia. The</w:t>
      </w:r>
      <w:r>
        <w:t xml:space="preserve"> </w:t>
      </w:r>
      <w:r>
        <w:rPr>
          <w:bCs/>
          <w:b/>
        </w:rPr>
        <w:t xml:space="preserve">Lawyer</w:t>
      </w:r>
      <w:r>
        <w:t xml:space="preserve"> </w:t>
      </w:r>
      <w:r>
        <w:t xml:space="preserve">prepared a meticulous submission detailing the breach of contract under Russian Civil Code provisions, emphasizing that currency fluctuation clauses did not constitute force majeure events. This strategic choice ensured a neutral forum and faster resolution.</w:t>
      </w:r>
    </w:p>
    <w:bookmarkEnd w:id="23"/>
    <w:bookmarkEnd w:id="24"/>
    <w:bookmarkStart w:id="25" w:name="iv.-outcomes-and-results"/>
    <w:p>
      <w:pPr>
        <w:pStyle w:val="Heading2"/>
      </w:pPr>
      <w:r>
        <w:t xml:space="preserve">IV. Outcomes and Results</w:t>
      </w:r>
    </w:p>
    <w:p>
      <w:pPr>
        <w:pStyle w:val="FirstParagraph"/>
      </w:pPr>
      <w:r>
        <w:t xml:space="preserve">The intervention of the local</w:t>
      </w:r>
      <w:r>
        <w:t xml:space="preserve"> </w:t>
      </w:r>
      <w:r>
        <w:rPr>
          <w:bCs/>
          <w:b/>
        </w:rPr>
        <w:t xml:space="preserve">Lawyer</w:t>
      </w:r>
      <w:r>
        <w:t xml:space="preserve"> </w:t>
      </w:r>
      <w:r>
        <w:t xml:space="preserve">yielded significant positive outcomes for TechGlobal Solutions within the context of operating in</w:t>
      </w:r>
      <w:r>
        <w:t xml:space="preserve"> </w:t>
      </w:r>
      <w:r>
        <w:rPr>
          <w:bCs/>
          <w:b/>
        </w:rPr>
        <w:t xml:space="preserve">Russia Saint Petersburg</w:t>
      </w:r>
      <w:r>
        <w:t xml:space="preserve">:</w:t>
      </w:r>
    </w:p>
    <w:p>
      <w:pPr>
        <w:numPr>
          <w:ilvl w:val="0"/>
          <w:numId w:val="1001"/>
        </w:numPr>
        <w:pStyle w:val="Compact"/>
      </w:pPr>
      <w:r>
        <w:t xml:space="preserve">C dismissal of IP Claims:The Saint Petersburg City Court dismissed all allegations of IP theft, clearing TechGlobal’s name in the local tech community.</w:t>
      </w:r>
    </w:p>
    <w:p>
      <w:pPr>
        <w:numPr>
          <w:ilvl w:val="0"/>
          <w:numId w:val="1001"/>
        </w:numPr>
        <w:pStyle w:val="Compact"/>
      </w:pPr>
      <w:r>
        <w:t xml:space="preserve">Regulatory Compliance Achieved:All foreign employee visas were regularized within six weeks, allowing the company to maintain its staffing levels and operational continuity.</w:t>
      </w:r>
    </w:p>
    <w:p>
      <w:pPr>
        <w:numPr>
          <w:ilvl w:val="0"/>
          <w:numId w:val="1001"/>
        </w:numPr>
        <w:pStyle w:val="Compact"/>
      </w:pPr>
      <w:r>
        <w:t xml:space="preserve">Favorable Arbitration Award:The ICAC ruled in favor of TechGlobal, ordering the local suppliers to release withheld funds plus interest. The award was enforced through local courts with minimal delay due to clear legal grounds presented by the attorney.</w:t>
      </w:r>
    </w:p>
    <w:p>
      <w:pPr>
        <w:pStyle w:val="FirstParagraph"/>
      </w:pPr>
      <w:r>
        <w:t xml:space="preserve">Total savings estimated at approximately 40% compared to initial projections for litigation costs and potential fines.</w:t>
      </w:r>
    </w:p>
    <w:bookmarkEnd w:id="25"/>
    <w:bookmarkStart w:id="26" w:name="v.-key-lessons-learned"/>
    <w:p>
      <w:pPr>
        <w:pStyle w:val="Heading2"/>
      </w:pPr>
      <w:r>
        <w:t xml:space="preserve">V. Key Lessons Learned</w:t>
      </w:r>
    </w:p>
    <w:p>
      <w:pPr>
        <w:pStyle w:val="FirstParagraph"/>
      </w:pPr>
      <w:r>
        <w:t xml:space="preserve">This case study underscores several critical lessons for international businesses operating in</w:t>
      </w:r>
      <w:r>
        <w:t xml:space="preserve"> </w:t>
      </w:r>
      <w:r>
        <w:rPr>
          <w:bCs/>
          <w:b/>
        </w:rPr>
        <w:t xml:space="preserve">Russia Saint Petersburg</w:t>
      </w:r>
      <w:r>
        <w:t xml:space="preserve">:</w:t>
      </w:r>
    </w:p>
    <w:p>
      <w:pPr>
        <w:numPr>
          <w:ilvl w:val="0"/>
          <w:numId w:val="1002"/>
        </w:numPr>
        <w:pStyle w:val="Compact"/>
      </w:pPr>
      <w:r>
        <w:t xml:space="preserve">The Necessity of Local Expertise: General knowledge of Russian federal law is insufficient. A competent</w:t>
      </w:r>
      <w:r>
        <w:t xml:space="preserve"> </w:t>
      </w:r>
      <w:r>
        <w:rPr>
          <w:bCs/>
          <w:b/>
        </w:rPr>
        <w:t xml:space="preserve">Lawyer</w:t>
      </w:r>
      <w:r>
        <w:t xml:space="preserve"> </w:t>
      </w:r>
      <w:r>
        <w:t xml:space="preserve">must possess specific knowledge of how laws are interpreted and enforced in Saint Petersburg. Local customs, administrative practices, and judicial tendencies vary significantly from Moscow or other regions.</w:t>
      </w:r>
    </w:p>
    <w:p>
      <w:pPr>
        <w:numPr>
          <w:ilvl w:val="0"/>
          <w:numId w:val="1002"/>
        </w:numPr>
        <w:pStyle w:val="Compact"/>
      </w:pPr>
      <w:r>
        <w:t xml:space="preserve">Proactive Compliance: Waiting for a dispute to arise before seeking legal counsel is often too late. The</w:t>
      </w:r>
      <w:r>
        <w:t xml:space="preserve"> </w:t>
      </w:r>
      <w:r>
        <w:rPr>
          <w:bCs/>
          <w:b/>
        </w:rPr>
        <w:t xml:space="preserve">Lawyer</w:t>
      </w:r>
      <w:r>
        <w:t xml:space="preserve">'s ability to preemptively audit contracts and labor arrangements prevented what could have been catastrophic operational stoppages.</w:t>
      </w:r>
    </w:p>
    <w:p>
      <w:pPr>
        <w:numPr>
          <w:ilvl w:val="0"/>
          <w:numId w:val="1002"/>
        </w:numPr>
        <w:pStyle w:val="Compact"/>
      </w:pPr>
      <w:r>
        <w:t xml:space="preserve">The Role of Arbitration in Russia Saint Petersburg: For commercial disputes, choosing the right dispute resolution mechanism is vital. The ICAC’s prestige and neutrality provided a level playing field that local courts might not have offered to a foreign entity.</w:t>
      </w:r>
    </w:p>
    <w:bookmarkEnd w:id="26"/>
    <w:bookmarkStart w:id="27" w:name="vi.-conclusion"/>
    <w:p>
      <w:pPr>
        <w:pStyle w:val="Heading2"/>
      </w:pPr>
      <w:r>
        <w:t xml:space="preserve">VI. Conclusion</w:t>
      </w:r>
    </w:p>
    <w:p>
      <w:pPr>
        <w:pStyle w:val="FirstParagraph"/>
      </w:pPr>
      <w:r>
        <w:t xml:space="preserve">The successful navigation of legal complexities in</w:t>
      </w:r>
      <w:r>
        <w:t xml:space="preserve"> </w:t>
      </w:r>
      <w:r>
        <w:rPr>
          <w:bCs/>
          <w:b/>
        </w:rPr>
        <w:t xml:space="preserve">Russia Saint Petersburg</w:t>
      </w:r>
      <w:r>
        <w:t xml:space="preserve"> </w:t>
      </w:r>
      <w:r>
        <w:t xml:space="preserve">by TechGlobal Solutions serves as a testament to the value of specialized legal representation. The case highlights that while the business environment in Saint Petersburg offers immense opportunities, it also presents distinct regulatory and judicial challenges. A skilled local</w:t>
      </w:r>
      <w:r>
        <w:t xml:space="preserve"> </w:t>
      </w:r>
      <w:r>
        <w:rPr>
          <w:bCs/>
          <w:b/>
        </w:rPr>
        <w:t xml:space="preserve">Lawyer</w:t>
      </w:r>
      <w:r>
        <w:t xml:space="preserve"> </w:t>
      </w:r>
      <w:r>
        <w:t xml:space="preserve">is not merely an advisor but a strategic partner essential for risk mitigation and sustainable growth. For any enterprise looking to establish a foothold in</w:t>
      </w:r>
      <w:r>
        <w:t xml:space="preserve"> </w:t>
      </w:r>
      <w:r>
        <w:rPr>
          <w:bCs/>
          <w:b/>
        </w:rPr>
        <w:t xml:space="preserve">Russia Saint Petersburg</w:t>
      </w:r>
      <w:r>
        <w:t xml:space="preserve">, securing dedicated legal counsel with deep regional expertise is not an option but a fundamental requirement for success.</w:t>
      </w:r>
    </w:p>
    <w:p>
      <w:pPr>
        <w:pStyle w:val="BodyText"/>
      </w:pPr>
      <w:r>
        <w:t xml:space="preserve">This case study reaffirms that understanding the local legal ecosystem, combined with robust strategic planning executed by a qualified attorney, is the key to overcoming barriers and thriving in the dynamic market of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Russia Saint Petersburg</dc:title>
  <dc:creator/>
  <dc:language>en</dc:language>
  <cp:keywords/>
  <dcterms:created xsi:type="dcterms:W3CDTF">2026-07-29T14:30:48Z</dcterms:created>
  <dcterms:modified xsi:type="dcterms:W3CDTF">2026-07-29T14:30:48Z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