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35e8e8e840053bdad3d0bdee5d1c9b8aa18fb64"/>
    <w:p>
      <w:pPr>
        <w:pStyle w:val="Heading1"/>
      </w:pPr>
      <w:r>
        <w:t xml:space="preserve">Case Study: Navigating Complex Commercial Litigation with a Lawyer in Saudi Arabia Riyadh</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Legal Strategy Review Board</w:t>
      </w:r>
      <w:r>
        <w:br/>
      </w:r>
      <w:r>
        <w:rPr>
          <w:bCs/>
          <w:b/>
        </w:rPr>
        <w:t xml:space="preserve">Jurisdiction Focus:</w:t>
      </w:r>
      <w:r>
        <w:t xml:space="preserve"> </w:t>
      </w:r>
      <w:r>
        <w:t xml:space="preserve">Kingdom of Saudi Arabia, specifically the capital city of Riyadh</w:t>
      </w:r>
    </w:p>
    <w:bookmarkStart w:id="20" w:name="executive-summary"/>
    <w:p>
      <w:pPr>
        <w:pStyle w:val="Heading2"/>
      </w:pPr>
      <w:r>
        <w:t xml:space="preserve">1. Executive Summary</w:t>
      </w:r>
    </w:p>
    <w:p>
      <w:pPr>
        <w:pStyle w:val="FirstParagraph"/>
      </w:pPr>
      <w:r>
        <w:t xml:space="preserve">This case study examines a high-stakes commercial dispute involving an international construction consortium and a local Saudi joint venture partner. The primary objective was to demonstrate how engaging a specialized</w:t>
      </w:r>
      <w:r>
        <w:t xml:space="preserve"> </w:t>
      </w:r>
      <w:r>
        <w:rPr>
          <w:bCs/>
          <w:b/>
        </w:rPr>
        <w:t xml:space="preserve">Lawyer</w:t>
      </w:r>
      <w:r>
        <w:t xml:space="preserve"> </w:t>
      </w:r>
      <w:r>
        <w:t xml:space="preserve">with deep roots in</w:t>
      </w:r>
      <w:r>
        <w:t xml:space="preserve"> </w:t>
      </w:r>
      <w:r>
        <w:rPr>
          <w:bCs/>
          <w:b/>
        </w:rPr>
        <w:t xml:space="preserve">Saudi Arabia Riyadh</w:t>
      </w:r>
      <w:r>
        <w:t xml:space="preserve"> </w:t>
      </w:r>
      <w:r>
        <w:t xml:space="preserve">facilitated a successful resolution under the Kingdom’s rapidly evolving legal framework. This document serves as an analytical review of the procedural challenges, cultural nuances, and strategic legal maneuvers employed to secure a favorable outcome for the client while maintaining long-term business relationships within the region.</w:t>
      </w:r>
    </w:p>
    <w:bookmarkEnd w:id="20"/>
    <w:bookmarkStart w:id="21" w:name="background-and-context"/>
    <w:p>
      <w:pPr>
        <w:pStyle w:val="Heading2"/>
      </w:pPr>
      <w:r>
        <w:t xml:space="preserve">2. Background and Context</w:t>
      </w:r>
    </w:p>
    <w:p>
      <w:pPr>
        <w:pStyle w:val="FirstParagraph"/>
      </w:pPr>
      <w:r>
        <w:t xml:space="preserve">The Kingdom of Saudi Arabia has undergone significant economic transformation under Vision 2030, leading to an influx of foreign direct investment (FDI) and mega-projects such as NEOM, The Red Sea Project, and various urban developments in the capital. Riyadh has emerged not only as the political center but also as the undisputed commercial hub of the Middle East. Consequently, legal disputes arising from construction delays, contract breaches, and regulatory compliance have become increasingly complex.</w:t>
      </w:r>
    </w:p>
    <w:p>
      <w:pPr>
        <w:pStyle w:val="BodyText"/>
      </w:pPr>
      <w:r>
        <w:t xml:space="preserve">In this specific case, a European multinational corporation (the "Client") entered into a Joint Venture Agreement with a prominent Saudi entity to develop a mixed-use infrastructure project in North Riyadh. Two years into the project, disagreements arose regarding change orders and force majeure clauses triggered by supply chain disruptions. The Client sought immediate arbitration to recover damages estimated at $15 million USD.</w:t>
      </w:r>
    </w:p>
    <w:bookmarkEnd w:id="21"/>
    <w:bookmarkStart w:id="22" w:name="X6076f5a1d6643cbdd1b52274bc49d4c6cc7f343"/>
    <w:p>
      <w:pPr>
        <w:pStyle w:val="Heading2"/>
      </w:pPr>
      <w:r>
        <w:t xml:space="preserve">3. The Challenge: Why Local Expertise Matters</w:t>
      </w:r>
    </w:p>
    <w:p>
      <w:pPr>
        <w:pStyle w:val="FirstParagraph"/>
      </w:pPr>
      <w:r>
        <w:t xml:space="preserve">The primary challenge faced by the Client was not merely contractual but jurisdictional. While the contract specified international arbitration, the enforcement of rights and preliminary injunctions required navigation of the Saudi judicial system. Furthermore, recent changes to Saudi civil procedure laws and commercial courts demanded precise interpretation.</w:t>
      </w:r>
    </w:p>
    <w:p>
      <w:pPr>
        <w:pStyle w:val="BodyText"/>
      </w:pPr>
      <w:r>
        <w:t xml:space="preserve">A generic legal approach failed because it underestimated two critical factors:</w:t>
      </w:r>
    </w:p>
    <w:p>
      <w:pPr>
        <w:numPr>
          <w:ilvl w:val="0"/>
          <w:numId w:val="1001"/>
        </w:numPr>
        <w:pStyle w:val="Compact"/>
      </w:pPr>
      <w:r>
        <w:rPr>
          <w:bCs/>
          <w:b/>
        </w:rPr>
        <w:t xml:space="preserve">Cultural Nuance:</w:t>
      </w:r>
      <w:r>
        <w:t xml:space="preserve"> </w:t>
      </w:r>
      <w:r>
        <w:t xml:space="preserve">Business relationships in</w:t>
      </w:r>
      <w:r>
        <w:t xml:space="preserve"> </w:t>
      </w:r>
      <w:r>
        <w:rPr>
          <w:bCs/>
          <w:b/>
        </w:rPr>
        <w:t xml:space="preserve">Saudi Arabia Riyadh</w:t>
      </w:r>
      <w:r>
        <w:t xml:space="preserve"> </w:t>
      </w:r>
      <w:r>
        <w:t xml:space="preserve">are heavily influenced by trust and long-term partnership dynamics. Aggressive litigation tactics often stall negotiations rather than resolve them.</w:t>
      </w:r>
    </w:p>
    <w:p>
      <w:pPr>
        <w:numPr>
          <w:ilvl w:val="0"/>
          <w:numId w:val="1001"/>
        </w:numPr>
        <w:pStyle w:val="Compact"/>
      </w:pPr>
      <w:r>
        <w:rPr>
          <w:iCs/>
          <w:i/>
        </w:rPr>
        <w:t xml:space="preserve">Judicial Evolution</w:t>
      </w:r>
      <w:r>
        <w:t xml:space="preserve">: The Saudi judiciary has modernized significantly, with specialized commercial courts handling cases based on new commercial laws. A lawyer unfamiliar with these specific procedural rules risks fatal errors in filing.</w:t>
      </w:r>
    </w:p>
    <w:bookmarkEnd w:id="22"/>
    <w:bookmarkStart w:id="26" w:name="legal-strategy-and-implementation"/>
    <w:p>
      <w:pPr>
        <w:pStyle w:val="Heading2"/>
      </w:pPr>
      <w:r>
        <w:t xml:space="preserve">4. Legal Strategy and Implementation</w:t>
      </w:r>
    </w:p>
    <w:p>
      <w:pPr>
        <w:pStyle w:val="FirstParagraph"/>
      </w:pPr>
      <w:r>
        <w:t xml:space="preserve">The Client engaged a senior</w:t>
      </w:r>
      <w:r>
        <w:t xml:space="preserve"> </w:t>
      </w:r>
      <w:r>
        <w:rPr>
          <w:bCs/>
          <w:b/>
        </w:rPr>
        <w:t xml:space="preserve">Lawyer</w:t>
      </w:r>
      <w:r>
        <w:t xml:space="preserve"> </w:t>
      </w:r>
      <w:r>
        <w:t xml:space="preserve">based in Riyadh, possessing over fifteen years of experience in both local litigation and international arbitration. The strategy was built on three pillars:</w:t>
      </w:r>
    </w:p>
    <w:bookmarkStart w:id="23" w:name="X01c67930a7f44aff22092f49cc48616c59810bf"/>
    <w:p>
      <w:pPr>
        <w:pStyle w:val="Heading3"/>
      </w:pPr>
      <w:r>
        <w:t xml:space="preserve">A. Pre-Arbitration Negotiation via Mediation</w:t>
      </w:r>
    </w:p>
    <w:p>
      <w:pPr>
        <w:pStyle w:val="FirstParagraph"/>
      </w:pPr>
      <w:r>
        <w:t xml:space="preserve">Rather than immediately filing for costly arbitration, the</w:t>
      </w:r>
      <w:r>
        <w:t xml:space="preserve"> </w:t>
      </w:r>
      <w:r>
        <w:rPr>
          <w:bCs/>
          <w:b/>
        </w:rPr>
        <w:t xml:space="preserve">Lawyer</w:t>
      </w:r>
      <w:r>
        <w:t xml:space="preserve"> </w:t>
      </w:r>
      <w:r>
        <w:t xml:space="preserve">utilized the Saudi Center for Commercial Arbitration (SCCA) mediation services. This approach respected local business customs where preserving relationships is paramount. The lawyer facilitated high-level meetings between senior executives of both parties, framing the dispute not as a breach of contract but as a logistical hurdle requiring mutual accommodation.</w:t>
      </w:r>
    </w:p>
    <w:bookmarkEnd w:id="23"/>
    <w:bookmarkStart w:id="24" w:name="X58c491b67efb229e4553974d939025c3bad1cae"/>
    <w:p>
      <w:pPr>
        <w:pStyle w:val="Heading3"/>
      </w:pPr>
      <w:r>
        <w:t xml:space="preserve">B. Strategic Evidence Collection under Saudi Law</w:t>
      </w:r>
    </w:p>
    <w:p>
      <w:pPr>
        <w:pStyle w:val="FirstParagraph"/>
      </w:pPr>
      <w:r>
        <w:t xml:space="preserve">The</w:t>
      </w:r>
      <w:r>
        <w:t xml:space="preserve"> </w:t>
      </w:r>
      <w:r>
        <w:rPr>
          <w:bCs/>
          <w:b/>
        </w:rPr>
        <w:t xml:space="preserve">Lawyer</w:t>
      </w:r>
      <w:r>
        <w:t xml:space="preserve"> </w:t>
      </w:r>
      <w:r>
        <w:t xml:space="preserve">conducted an exhaustive audit of correspondence and project records to align with Saudi evidentiary standards. In</w:t>
      </w:r>
      <w:r>
        <w:t xml:space="preserve"> </w:t>
      </w:r>
      <w:r>
        <w:rPr>
          <w:bCs/>
          <w:b/>
        </w:rPr>
        <w:t xml:space="preserve">Saudi Arabia Riyadh</w:t>
      </w:r>
      <w:r>
        <w:t xml:space="preserve">, electronic evidence must be authenticated rigorously. The legal team prepared detailed affidavits translated into Arabic, ensuring that all technical construction data was interpreted in a way that resonated with local judicial experts.</w:t>
      </w:r>
    </w:p>
    <w:bookmarkEnd w:id="24"/>
    <w:bookmarkStart w:id="25" w:name="c.-dual-track-approach"/>
    <w:p>
      <w:pPr>
        <w:pStyle w:val="Heading3"/>
      </w:pPr>
      <w:r>
        <w:t xml:space="preserve">C. Dual-Track Approach</w:t>
      </w:r>
    </w:p>
    <w:p>
      <w:pPr>
        <w:pStyle w:val="FirstParagraph"/>
      </w:pPr>
      <w:r>
        <w:t xml:space="preserve">While mediation was ongoing, the</w:t>
      </w:r>
      <w:r>
        <w:t xml:space="preserve"> </w:t>
      </w:r>
      <w:r>
        <w:rPr>
          <w:bCs/>
          <w:b/>
        </w:rPr>
        <w:t xml:space="preserve">Lawyer</w:t>
      </w:r>
      <w:r>
        <w:t xml:space="preserve"> </w:t>
      </w:r>
      <w:r>
        <w:t xml:space="preserve">simultaneously filed for protective measures in the Riyadh Commercial Court to prevent asset stripping by the partner. This demonstrated resolve without severing ties, creating a leverage point for the negotiation table.</w:t>
      </w:r>
    </w:p>
    <w:bookmarkEnd w:id="25"/>
    <w:bookmarkEnd w:id="26"/>
    <w:bookmarkStart w:id="27" w:name="outcomes-and-results"/>
    <w:p>
      <w:pPr>
        <w:pStyle w:val="Heading2"/>
      </w:pPr>
      <w:r>
        <w:t xml:space="preserve">5. Outcomes and Results</w:t>
      </w:r>
    </w:p>
    <w:p>
      <w:pPr>
        <w:pStyle w:val="FirstParagraph"/>
      </w:pPr>
      <w:r>
        <w:t xml:space="preserve">The strategy yielded exceptional results within six months:</w:t>
      </w:r>
    </w:p>
    <w:p>
      <w:pPr>
        <w:numPr>
          <w:ilvl w:val="0"/>
          <w:numId w:val="1002"/>
        </w:numPr>
        <w:pStyle w:val="Compact"/>
      </w:pPr>
      <w:r>
        <w:rPr>
          <w:bCs/>
          <w:b/>
        </w:rPr>
        <w:t xml:space="preserve">Settlement Reached:</w:t>
      </w:r>
      <w:r>
        <w:t xml:space="preserve"> </w:t>
      </w:r>
      <w:r>
        <w:t xml:space="preserve">The parties agreed to a revised payment schedule and mutual waiver of certain penalties, saving the Client an estimated $4 million in potential arbitration costs.</w:t>
      </w:r>
    </w:p>
    <w:p>
      <w:pPr>
        <w:numPr>
          <w:ilvl w:val="0"/>
          <w:numId w:val="1002"/>
        </w:numPr>
        <w:pStyle w:val="Compact"/>
      </w:pPr>
      <w:r>
        <w:rPr>
          <w:bCs/>
          <w:b/>
        </w:rPr>
        <w:t xml:space="preserve">Judicial Recognition:</w:t>
      </w:r>
      <w:r>
        <w:t xml:space="preserve"> </w:t>
      </w:r>
      <w:r>
        <w:t xml:space="preserve">The protective measures filed by the lawyer were upheld by the Riyadh Commercial Court, ensuring asset security throughout the negotiation period.</w:t>
      </w:r>
    </w:p>
    <w:p>
      <w:pPr>
        <w:numPr>
          <w:ilvl w:val="0"/>
          <w:numId w:val="1002"/>
        </w:numPr>
        <w:pStyle w:val="Compact"/>
      </w:pPr>
      <w:r>
        <w:t xml:space="preserve">Relationship Preservation:</w:t>
      </w:r>
    </w:p>
    <w:bookmarkEnd w:id="27"/>
    <w:bookmarkStart w:id="28" w:name="analysis-of-key-success-factors"/>
    <w:p>
      <w:pPr>
        <w:pStyle w:val="Heading2"/>
      </w:pPr>
      <w:r>
        <w:t xml:space="preserve">6. Analysis of Key Success Factors</w:t>
      </w:r>
    </w:p>
    <w:p>
      <w:pPr>
        <w:pStyle w:val="FirstParagraph"/>
      </w:pPr>
      <w:r>
        <w:t xml:space="preserve">The success of this case hinged on the specific attributes of the legal representation in</w:t>
      </w:r>
      <w:r>
        <w:t xml:space="preserve"> </w:t>
      </w:r>
      <w:r>
        <w:rPr>
          <w:bCs/>
          <w:b/>
        </w:rPr>
        <w:t xml:space="preserve">Saudi Arabia Riyadh</w:t>
      </w:r>
      <w:r>
        <w:t xml:space="preserve">:</w:t>
      </w:r>
    </w:p>
    <w:p>
      <w:pPr>
        <w:numPr>
          <w:ilvl w:val="0"/>
          <w:numId w:val="1003"/>
        </w:numPr>
        <w:pStyle w:val="Compact"/>
      </w:pPr>
      <w:r>
        <w:rPr>
          <w:iCs/>
          <w:i/>
        </w:rPr>
        <w:t xml:space="preserve">Bilingual Proficiency:</w:t>
      </w:r>
      <w:r>
        <w:t xml:space="preserve"> </w:t>
      </w:r>
      <w:r>
        <w:t xml:space="preserve">The ability to navigate legal concepts between English and Arabic is non-negotiable. Misinterpretation of key terms like "good faith" or "force majeure" can alter case outcomes significantly.</w:t>
      </w:r>
    </w:p>
    <w:p>
      <w:pPr>
        <w:numPr>
          <w:ilvl w:val="0"/>
          <w:numId w:val="1003"/>
        </w:numPr>
        <w:pStyle w:val="Compact"/>
      </w:pPr>
      <w:r>
        <w:rPr>
          <w:bCs/>
          <w:b/>
        </w:rPr>
        <w:t xml:space="preserve">Cultural Intelligence</w:t>
      </w:r>
      <w:r>
        <w:t xml:space="preserve">: Understanding the hierarchy and decision-making processes in Saudi corporate structures allowed the lawyer to identify the right stakeholders for resolution.</w:t>
      </w:r>
    </w:p>
    <w:p>
      <w:pPr>
        <w:numPr>
          <w:ilvl w:val="0"/>
          <w:numId w:val="1003"/>
        </w:numPr>
        <w:pStyle w:val="Compact"/>
      </w:pPr>
      <w:r>
        <w:rPr>
          <w:bCs/>
          <w:b/>
        </w:rPr>
        <w:t xml:space="preserve">Knowledge of Vision 2030 Implications</w:t>
      </w:r>
      <w:r>
        <w:t xml:space="preserve">: The lawyer contextualized the dispute within broader economic goals, appealing to both parties' interest in contributing positively to Riyadh’s development narrative.</w:t>
      </w:r>
    </w:p>
    <w:bookmarkEnd w:id="28"/>
    <w:bookmarkStart w:id="29" w:name="conclusion-and-recommendations"/>
    <w:p>
      <w:pPr>
        <w:pStyle w:val="Heading2"/>
      </w:pPr>
      <w:r>
        <w:t xml:space="preserve">7. Conclusion and Recommendations</w:t>
      </w:r>
    </w:p>
    <w:p>
      <w:pPr>
        <w:pStyle w:val="FirstParagraph"/>
      </w:pPr>
      <w:r>
        <w:t xml:space="preserve">This case study illustrates that engaging a competent</w:t>
      </w:r>
      <w:r>
        <w:t xml:space="preserve"> </w:t>
      </w:r>
      <w:r>
        <w:rPr>
          <w:bCs/>
          <w:b/>
        </w:rPr>
        <w:t xml:space="preserve">Lawyer</w:t>
      </w:r>
      <w:r>
        <w:t xml:space="preserve"> </w:t>
      </w:r>
      <w:r>
        <w:t xml:space="preserve">is not merely a legal necessity but a strategic business imperative when operating in</w:t>
      </w:r>
      <w:r>
        <w:t xml:space="preserve"> </w:t>
      </w:r>
      <w:r>
        <w:rPr>
          <w:bCs/>
          <w:b/>
        </w:rPr>
        <w:t xml:space="preserve">Saudi Arabia Riyadh</w:t>
      </w:r>
      <w:r>
        <w:t xml:space="preserve">. The intersection of traditional Islamic jurisprudence principles with modern commercial codes requires nuanced expertise.</w:t>
      </w:r>
    </w:p>
    <w:p>
      <w:pPr>
        <w:pStyle w:val="BodyText"/>
      </w:pPr>
      <w:r>
        <w:t xml:space="preserve">For international entities looking to expand into the Saudi market, it is recommended that they:</w:t>
      </w:r>
    </w:p>
    <w:p>
      <w:pPr>
        <w:numPr>
          <w:ilvl w:val="0"/>
          <w:numId w:val="1004"/>
        </w:numPr>
        <w:pStyle w:val="Compact"/>
      </w:pPr>
      <w:r>
        <w:t xml:space="preserve">Select legal counsel with proven track records in Riyadh’s specific commercial courts.</w:t>
      </w:r>
    </w:p>
    <w:p>
      <w:pPr>
        <w:numPr>
          <w:ilvl w:val="0"/>
          <w:numId w:val="1004"/>
        </w:numPr>
        <w:pStyle w:val="Compact"/>
      </w:pPr>
      <w:r>
        <w:t xml:space="preserve">Invest time in understanding local dispute resolution mechanisms before conflicts arise.</w:t>
      </w:r>
    </w:p>
    <w:p>
      <w:pPr>
        <w:numPr>
          <w:ilvl w:val="0"/>
          <w:numId w:val="1004"/>
        </w:numPr>
        <w:pStyle w:val="Compact"/>
      </w:pPr>
      <w:r>
        <w:t xml:space="preserve">Prioritize relationship-based solutions supported by robust legal frameworks rather than purely adversarial litigation.</w:t>
      </w:r>
    </w:p>
    <w:p>
      <w:pPr>
        <w:pStyle w:val="FirstParagraph"/>
      </w:pPr>
      <w:r>
        <w:t xml:space="preserve">The integration of local insight with international standards, as demonstrated in this case, serves as a blueprint for successful legal navigation in one of the world’s most dynamic markets. The role of the</w:t>
      </w:r>
      <w:r>
        <w:t xml:space="preserve"> </w:t>
      </w:r>
      <w:r>
        <w:rPr>
          <w:bCs/>
          <w:b/>
        </w:rPr>
        <w:t xml:space="preserve">Lawyer</w:t>
      </w:r>
      <w:r>
        <w:t xml:space="preserve"> </w:t>
      </w:r>
      <w:r>
        <w:t xml:space="preserve">extends beyond advocacy; it encompasses cultural brokerage and strategic foresight essential for sustainability in</w:t>
      </w:r>
      <w:r>
        <w:t xml:space="preserve"> </w:t>
      </w:r>
      <w:r>
        <w:rPr>
          <w:bCs/>
          <w:b/>
        </w:rPr>
        <w:t xml:space="preserve">Saudi Arabia Riyadh</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in Saudi Arabia Riyadh</dc:title>
  <dc:creator/>
  <dc:language>en</dc:language>
  <cp:keywords/>
  <dcterms:created xsi:type="dcterms:W3CDTF">2026-07-29T18:33:24Z</dcterms:created>
  <dcterms:modified xsi:type="dcterms:W3CDTF">2026-07-29T18:33:24Z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